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501E" w:rsidRDefault="009D67B7" w:rsidP="00631570">
      <w:pPr>
        <w:spacing w:line="276" w:lineRule="auto"/>
        <w:ind w:firstLine="567"/>
      </w:pPr>
    </w:p>
    <w:p w:rsidR="00631570" w:rsidRDefault="00631570" w:rsidP="00631570">
      <w:pPr>
        <w:spacing w:line="276" w:lineRule="auto"/>
        <w:ind w:firstLine="567"/>
        <w:rPr>
          <w:sz w:val="28"/>
          <w:szCs w:val="28"/>
        </w:rPr>
      </w:pPr>
    </w:p>
    <w:p w:rsidR="00AA44E2" w:rsidRPr="00AA44E2" w:rsidRDefault="00AA44E2" w:rsidP="00631570">
      <w:pPr>
        <w:spacing w:line="276" w:lineRule="auto"/>
        <w:ind w:firstLine="567"/>
        <w:rPr>
          <w:sz w:val="28"/>
          <w:szCs w:val="28"/>
        </w:rPr>
      </w:pPr>
    </w:p>
    <w:p w:rsidR="00AA44E2" w:rsidRPr="00631570" w:rsidRDefault="00631570" w:rsidP="00631570">
      <w:pPr>
        <w:spacing w:line="276" w:lineRule="auto"/>
        <w:ind w:firstLine="567"/>
        <w:jc w:val="center"/>
        <w:rPr>
          <w:rFonts w:eastAsia="Times New Roman"/>
          <w:b/>
          <w:sz w:val="24"/>
          <w:szCs w:val="24"/>
          <w:highlight w:val="white"/>
          <w:shd w:val="clear" w:color="auto" w:fill="FEFEFE"/>
        </w:rPr>
      </w:pPr>
      <w:r w:rsidRPr="00631570">
        <w:rPr>
          <w:b/>
          <w:sz w:val="28"/>
          <w:szCs w:val="28"/>
        </w:rPr>
        <w:t xml:space="preserve">РЕЗЮМЕ НА </w:t>
      </w:r>
      <w:r>
        <w:rPr>
          <w:b/>
          <w:sz w:val="28"/>
          <w:szCs w:val="28"/>
        </w:rPr>
        <w:t>СТРАТЕГИЯ ЗА ВОМР</w:t>
      </w:r>
    </w:p>
    <w:p w:rsidR="00AA44E2" w:rsidRDefault="00AA44E2" w:rsidP="00631570">
      <w:pPr>
        <w:pStyle w:val="doc-ti"/>
        <w:spacing w:before="0" w:beforeAutospacing="0" w:after="0" w:afterAutospacing="0" w:line="276" w:lineRule="auto"/>
        <w:ind w:firstLine="567"/>
        <w:jc w:val="both"/>
        <w:rPr>
          <w:rFonts w:eastAsia="Century Gothic"/>
        </w:rPr>
      </w:pPr>
    </w:p>
    <w:p w:rsidR="00AA44E2" w:rsidRPr="005867C1" w:rsidRDefault="00AA44E2" w:rsidP="00631570">
      <w:pPr>
        <w:pStyle w:val="doc-ti"/>
        <w:spacing w:before="0" w:beforeAutospacing="0" w:after="0" w:afterAutospacing="0" w:line="276" w:lineRule="auto"/>
        <w:ind w:firstLine="567"/>
        <w:jc w:val="both"/>
        <w:rPr>
          <w:i/>
        </w:rPr>
      </w:pPr>
      <w:r w:rsidRPr="00AA44E2">
        <w:rPr>
          <w:rFonts w:eastAsia="Century Gothic"/>
        </w:rPr>
        <w:t xml:space="preserve">Стратегията за Водено от общностите местно развитие  на М ИГ „Мъглиж, Казанлък, Гурково обхваща периода 2016-2020 г. и се прилага на територията на общините Мъглиж, Гурково и Казанлък (извън строителните граници на град Казанлък). Финансирането на стратегията е </w:t>
      </w:r>
      <w:proofErr w:type="spellStart"/>
      <w:r w:rsidRPr="00AA44E2">
        <w:rPr>
          <w:rFonts w:eastAsia="Century Gothic"/>
        </w:rPr>
        <w:t>многофондово</w:t>
      </w:r>
      <w:proofErr w:type="spellEnd"/>
      <w:r w:rsidRPr="00AA44E2">
        <w:rPr>
          <w:rFonts w:eastAsia="Century Gothic"/>
        </w:rPr>
        <w:t xml:space="preserve">, включени са мерки от Програмата за развитие на селските райони, Оперативна програма „Иновации и Конкурентоспособност, Оперативна програма „Развитие на човешките ресурси.  Тя е изготвена съгласно </w:t>
      </w:r>
      <w:r w:rsidRPr="005867C1">
        <w:rPr>
          <w:rFonts w:eastAsia="Century Gothic"/>
          <w:i/>
        </w:rPr>
        <w:t>Регламент на (ЕС)</w:t>
      </w:r>
      <w:r w:rsidRPr="005867C1">
        <w:rPr>
          <w:i/>
        </w:rPr>
        <w:t xml:space="preserve"> № </w:t>
      </w:r>
      <w:r w:rsidRPr="005867C1">
        <w:rPr>
          <w:rFonts w:eastAsia="Century Gothic"/>
          <w:i/>
        </w:rPr>
        <w:t xml:space="preserve">1305 на ЕП </w:t>
      </w:r>
      <w:r w:rsidRPr="005867C1">
        <w:rPr>
          <w:i/>
        </w:rPr>
        <w:t>относно подпомагане на развитието на селските райони от Европейския земеделски фонд за развитие на селските райони  (ЕЗФРСР),</w:t>
      </w:r>
      <w:r w:rsidR="005867C1">
        <w:rPr>
          <w:i/>
        </w:rPr>
        <w:t>“</w:t>
      </w:r>
      <w:r w:rsidRPr="00AA44E2">
        <w:t xml:space="preserve"> </w:t>
      </w:r>
      <w:r w:rsidRPr="005867C1">
        <w:rPr>
          <w:i/>
        </w:rPr>
        <w:t xml:space="preserve">Регламент (ЕС) № 1303/2013 на ЕП за определяне на </w:t>
      </w:r>
      <w:proofErr w:type="spellStart"/>
      <w:r w:rsidRPr="005867C1">
        <w:rPr>
          <w:i/>
        </w:rPr>
        <w:t>общоприложими</w:t>
      </w:r>
      <w:proofErr w:type="spellEnd"/>
      <w:r w:rsidRPr="005867C1">
        <w:rPr>
          <w:i/>
        </w:rPr>
        <w:t xml:space="preserve"> разпоредби за Европейския фонд за регионално развитие, Европейския социален фонд, </w:t>
      </w:r>
      <w:proofErr w:type="spellStart"/>
      <w:r w:rsidRPr="005867C1">
        <w:rPr>
          <w:i/>
        </w:rPr>
        <w:t>Кохезионния</w:t>
      </w:r>
      <w:proofErr w:type="spellEnd"/>
      <w:r w:rsidRPr="005867C1">
        <w:rPr>
          <w:i/>
        </w:rPr>
        <w:t xml:space="preserve"> фонд, Европейския земеделски фонд за развитие на селските райони и Европейския фонд за морско дело и рибарство и за определяне на общи разпоредби за Европейския фонд</w:t>
      </w:r>
      <w:r w:rsidR="005867C1">
        <w:rPr>
          <w:i/>
        </w:rPr>
        <w:t>“</w:t>
      </w:r>
      <w:r w:rsidRPr="00AA44E2">
        <w:t xml:space="preserve"> за регионално развитие, Европейския социален фонд, </w:t>
      </w:r>
      <w:proofErr w:type="spellStart"/>
      <w:r w:rsidRPr="00AA44E2">
        <w:t>Кохезионния</w:t>
      </w:r>
      <w:proofErr w:type="spellEnd"/>
      <w:r w:rsidRPr="00AA44E2">
        <w:t xml:space="preserve"> фонд и Европейския фонд за морско дело и рибарство и </w:t>
      </w:r>
      <w:r w:rsidRPr="005867C1">
        <w:rPr>
          <w:i/>
        </w:rPr>
        <w:t xml:space="preserve">Наредба№ 22 на МЗХ за „Прилагане на операции в рамките на стратегии за </w:t>
      </w:r>
      <w:r w:rsidRPr="005867C1">
        <w:rPr>
          <w:rFonts w:eastAsia="Century Gothic"/>
          <w:i/>
        </w:rPr>
        <w:t>Водено от общностите местно развитие  на мярка 19.</w:t>
      </w:r>
      <w:r w:rsidRPr="005867C1">
        <w:rPr>
          <w:i/>
          <w:shd w:val="clear" w:color="auto" w:fill="FEFEFE"/>
        </w:rPr>
        <w:t xml:space="preserve"> Водено от общностите местно развитие</w:t>
      </w:r>
      <w:r w:rsidRPr="005867C1">
        <w:rPr>
          <w:rFonts w:eastAsia="Century Gothic"/>
          <w:i/>
        </w:rPr>
        <w:t xml:space="preserve">  от ПРСР 2014-2020г.</w:t>
      </w:r>
      <w:r w:rsidRPr="005867C1">
        <w:rPr>
          <w:i/>
        </w:rPr>
        <w:t xml:space="preserve"> </w:t>
      </w:r>
    </w:p>
    <w:p w:rsidR="00AA44E2" w:rsidRPr="00AA44E2" w:rsidRDefault="00AA44E2" w:rsidP="00631570">
      <w:pPr>
        <w:widowControl/>
        <w:autoSpaceDE/>
        <w:autoSpaceDN/>
        <w:adjustRightInd/>
        <w:spacing w:line="276" w:lineRule="auto"/>
        <w:ind w:firstLine="567"/>
        <w:jc w:val="both"/>
        <w:rPr>
          <w:rFonts w:eastAsiaTheme="minorHAnsi"/>
          <w:sz w:val="24"/>
          <w:szCs w:val="24"/>
          <w:lang w:eastAsia="en-US"/>
        </w:rPr>
      </w:pPr>
      <w:r w:rsidRPr="00AA44E2">
        <w:rPr>
          <w:rFonts w:eastAsiaTheme="minorHAnsi"/>
          <w:sz w:val="24"/>
          <w:szCs w:val="24"/>
          <w:shd w:val="clear" w:color="auto" w:fill="FEFEFE"/>
          <w:lang w:eastAsia="en-US"/>
        </w:rPr>
        <w:t xml:space="preserve">Стратегията е обоснована от </w:t>
      </w:r>
      <w:r w:rsidRPr="00AA44E2">
        <w:rPr>
          <w:rFonts w:eastAsiaTheme="minorHAnsi"/>
          <w:sz w:val="24"/>
          <w:szCs w:val="24"/>
          <w:lang w:eastAsia="en-US"/>
        </w:rPr>
        <w:t>социално-икономически анализ за територията на общините попадащи в границата на МИГ, от информация от проведени  фокус групи, допълнително от проведените информационни срещи, консултации и обсъждания с заинтересовани лица и местната общност в процеса  на нейната подготовка.  Подкрепящи докуме</w:t>
      </w:r>
      <w:r w:rsidR="005867C1">
        <w:rPr>
          <w:rFonts w:eastAsiaTheme="minorHAnsi"/>
          <w:sz w:val="24"/>
          <w:szCs w:val="24"/>
          <w:lang w:eastAsia="en-US"/>
        </w:rPr>
        <w:t>н</w:t>
      </w:r>
      <w:r w:rsidRPr="00AA44E2">
        <w:rPr>
          <w:rFonts w:eastAsiaTheme="minorHAnsi"/>
          <w:sz w:val="24"/>
          <w:szCs w:val="24"/>
          <w:lang w:eastAsia="en-US"/>
        </w:rPr>
        <w:t>ти за разработване на Стратегията за „Анализ на заинтересованите лица“ и Анализ за информираност, за нагласите и очакванията на местната общност</w:t>
      </w:r>
      <w:r w:rsidR="005867C1">
        <w:rPr>
          <w:rFonts w:eastAsiaTheme="minorHAnsi"/>
          <w:sz w:val="24"/>
          <w:szCs w:val="24"/>
          <w:lang w:eastAsia="en-US"/>
        </w:rPr>
        <w:t xml:space="preserve"> на територията на МИГ „Мъглиж, Казанлък,Гурково“</w:t>
      </w:r>
      <w:r w:rsidRPr="00AA44E2">
        <w:rPr>
          <w:rFonts w:eastAsiaTheme="minorHAnsi"/>
          <w:sz w:val="24"/>
          <w:szCs w:val="24"/>
          <w:lang w:eastAsia="en-US"/>
        </w:rPr>
        <w:t xml:space="preserve">.  </w:t>
      </w:r>
    </w:p>
    <w:p w:rsidR="00AA44E2" w:rsidRPr="00AA44E2" w:rsidRDefault="00AA44E2" w:rsidP="00631570">
      <w:pPr>
        <w:spacing w:line="276" w:lineRule="auto"/>
        <w:ind w:firstLine="567"/>
        <w:jc w:val="both"/>
        <w:rPr>
          <w:sz w:val="24"/>
          <w:szCs w:val="24"/>
        </w:rPr>
      </w:pPr>
      <w:r w:rsidRPr="00AA44E2">
        <w:rPr>
          <w:sz w:val="24"/>
          <w:szCs w:val="24"/>
        </w:rPr>
        <w:t xml:space="preserve">Основният подход при реализацията на дейностите за създаване на МИГ и СМР е „отдолу нагоре”, публично-частно партньорство, иновации, интегриран и </w:t>
      </w:r>
      <w:proofErr w:type="spellStart"/>
      <w:r w:rsidRPr="00AA44E2">
        <w:rPr>
          <w:sz w:val="24"/>
          <w:szCs w:val="24"/>
        </w:rPr>
        <w:t>мулти-секторен</w:t>
      </w:r>
      <w:proofErr w:type="spellEnd"/>
      <w:r w:rsidRPr="00AA44E2">
        <w:rPr>
          <w:sz w:val="24"/>
          <w:szCs w:val="24"/>
        </w:rPr>
        <w:t xml:space="preserve"> подход. </w:t>
      </w:r>
      <w:r w:rsidRPr="00AA44E2">
        <w:rPr>
          <w:rFonts w:eastAsia="Times New Roman"/>
          <w:sz w:val="24"/>
          <w:szCs w:val="24"/>
          <w:shd w:val="clear" w:color="auto" w:fill="FEFEFE"/>
          <w:lang w:eastAsia="en-US"/>
        </w:rPr>
        <w:t xml:space="preserve">При разработване на стратегически документ взеха участие представители на местния бизнес, (земеделски производители,  </w:t>
      </w:r>
      <w:proofErr w:type="spellStart"/>
      <w:r w:rsidRPr="00AA44E2">
        <w:rPr>
          <w:rFonts w:eastAsia="Times New Roman"/>
          <w:sz w:val="24"/>
          <w:szCs w:val="24"/>
          <w:shd w:val="clear" w:color="auto" w:fill="FEFEFE"/>
          <w:lang w:eastAsia="en-US"/>
        </w:rPr>
        <w:t>микро</w:t>
      </w:r>
      <w:proofErr w:type="spellEnd"/>
      <w:r w:rsidRPr="00AA44E2">
        <w:rPr>
          <w:rFonts w:eastAsia="Times New Roman"/>
          <w:sz w:val="24"/>
          <w:szCs w:val="24"/>
          <w:shd w:val="clear" w:color="auto" w:fill="FEFEFE"/>
          <w:lang w:eastAsia="en-US"/>
        </w:rPr>
        <w:t xml:space="preserve">, малки и средни предприятия, НПО и читалища, кметове на населени места-и представители на </w:t>
      </w:r>
      <w:r w:rsidRPr="00AA44E2">
        <w:rPr>
          <w:rFonts w:eastAsia="Times New Roman"/>
          <w:color w:val="000000"/>
          <w:sz w:val="24"/>
          <w:szCs w:val="24"/>
          <w:lang w:eastAsia="en-US"/>
        </w:rPr>
        <w:t>администрация трите общини.</w:t>
      </w:r>
    </w:p>
    <w:p w:rsidR="00AA44E2" w:rsidRDefault="00AA44E2" w:rsidP="00631570">
      <w:pPr>
        <w:pStyle w:val="doc-ti"/>
        <w:spacing w:before="0" w:beforeAutospacing="0" w:after="0" w:afterAutospacing="0" w:line="276" w:lineRule="auto"/>
        <w:ind w:firstLine="567"/>
        <w:jc w:val="both"/>
        <w:rPr>
          <w:b/>
        </w:rPr>
      </w:pPr>
      <w:r w:rsidRPr="00AA44E2">
        <w:rPr>
          <w:b/>
        </w:rPr>
        <w:t>Териториална характеристика на МИГ. „ Мъглиж, Казанлък,  Гурково“ (МКГ).</w:t>
      </w:r>
    </w:p>
    <w:p w:rsidR="00AA44E2" w:rsidRPr="00AA44E2" w:rsidRDefault="00AA44E2" w:rsidP="00631570">
      <w:pPr>
        <w:widowControl/>
        <w:autoSpaceDE/>
        <w:autoSpaceDN/>
        <w:adjustRightInd/>
        <w:spacing w:line="276" w:lineRule="auto"/>
        <w:ind w:firstLine="567"/>
        <w:jc w:val="both"/>
        <w:rPr>
          <w:rFonts w:eastAsiaTheme="minorHAnsi"/>
          <w:sz w:val="24"/>
          <w:szCs w:val="24"/>
          <w:lang w:eastAsia="en-US"/>
        </w:rPr>
      </w:pPr>
      <w:r w:rsidRPr="00AA44E2">
        <w:rPr>
          <w:rFonts w:eastAsia="Arial,Bold"/>
          <w:b/>
          <w:bCs/>
          <w:sz w:val="24"/>
          <w:szCs w:val="24"/>
          <w:lang w:eastAsia="en-US"/>
        </w:rPr>
        <w:t xml:space="preserve">Месна Инициативна Група </w:t>
      </w:r>
      <w:r w:rsidRPr="00AA44E2">
        <w:rPr>
          <w:rFonts w:eastAsia="Arial,Bold"/>
          <w:sz w:val="24"/>
          <w:szCs w:val="24"/>
          <w:lang w:eastAsia="en-US"/>
        </w:rPr>
        <w:t>осъществява дейността си</w:t>
      </w:r>
      <w:r w:rsidRPr="00AA44E2">
        <w:rPr>
          <w:rFonts w:eastAsia="Arial,Bold"/>
          <w:sz w:val="24"/>
          <w:szCs w:val="24"/>
          <w:lang w:val="en-US" w:eastAsia="en-US"/>
        </w:rPr>
        <w:t xml:space="preserve"> </w:t>
      </w:r>
      <w:r w:rsidRPr="00AA44E2">
        <w:rPr>
          <w:rFonts w:eastAsia="Arial,Bold"/>
          <w:sz w:val="24"/>
          <w:szCs w:val="24"/>
          <w:lang w:eastAsia="en-US"/>
        </w:rPr>
        <w:t xml:space="preserve"> на територията на три  общини: Мъглиж, Казанлък (извън строителните граници на гр.Казанлък), Гурково.Територията </w:t>
      </w:r>
      <w:r w:rsidRPr="00AA44E2">
        <w:rPr>
          <w:rFonts w:eastAsia="Arial,Bold"/>
          <w:bCs/>
          <w:sz w:val="24"/>
          <w:szCs w:val="24"/>
          <w:lang w:eastAsia="en-US"/>
        </w:rPr>
        <w:t>е кохерентна</w:t>
      </w:r>
      <w:r w:rsidRPr="00AA44E2">
        <w:rPr>
          <w:rFonts w:eastAsia="Arial,Bold"/>
          <w:b/>
          <w:bCs/>
          <w:sz w:val="24"/>
          <w:szCs w:val="24"/>
          <w:lang w:eastAsia="en-US"/>
        </w:rPr>
        <w:t xml:space="preserve"> </w:t>
      </w:r>
      <w:r w:rsidRPr="00AA44E2">
        <w:rPr>
          <w:rFonts w:eastAsia="Arial,Bold"/>
          <w:sz w:val="24"/>
          <w:szCs w:val="24"/>
          <w:lang w:eastAsia="en-US"/>
        </w:rPr>
        <w:t xml:space="preserve">и изцяло съвпада с административните граници на трите общини. </w:t>
      </w:r>
      <w:r w:rsidRPr="00AA44E2">
        <w:rPr>
          <w:rFonts w:eastAsiaTheme="minorHAnsi"/>
          <w:sz w:val="24"/>
          <w:szCs w:val="24"/>
          <w:lang w:eastAsia="en-US"/>
        </w:rPr>
        <w:t xml:space="preserve">Селищната мрежа е представена от 45.населени места, включва 4 града </w:t>
      </w:r>
      <w:r w:rsidRPr="00AA44E2">
        <w:rPr>
          <w:rFonts w:eastAsiaTheme="minorHAnsi"/>
          <w:sz w:val="24"/>
          <w:szCs w:val="24"/>
          <w:lang w:eastAsia="en-US"/>
        </w:rPr>
        <w:lastRenderedPageBreak/>
        <w:t xml:space="preserve">(Мъглиж, Гърково, Крън и Шипка и 41 села. Общо обхванатата територията на МИГ Мъглиж, Казанлък, Гурково е </w:t>
      </w:r>
      <w:r w:rsidRPr="00AA44E2">
        <w:rPr>
          <w:rFonts w:eastAsia="Times New Roman"/>
          <w:color w:val="000000"/>
          <w:sz w:val="24"/>
          <w:szCs w:val="24"/>
          <w:lang w:eastAsia="en-US"/>
        </w:rPr>
        <w:t>1275.4 кв.км. което е 24.7% от територията на област Стара Загора, 4.08% от територията на Югоизточен район и 1.14% от територията на страната.</w:t>
      </w:r>
      <w:r w:rsidRPr="00AA44E2">
        <w:rPr>
          <w:rFonts w:eastAsia="Times New Roman"/>
          <w:sz w:val="24"/>
          <w:szCs w:val="24"/>
          <w:lang w:eastAsia="en-US"/>
        </w:rPr>
        <w:t xml:space="preserve"> </w:t>
      </w:r>
      <w:r w:rsidRPr="00AA44E2">
        <w:rPr>
          <w:rFonts w:eastAsiaTheme="minorHAnsi"/>
          <w:sz w:val="24"/>
          <w:szCs w:val="24"/>
          <w:lang w:eastAsia="en-US"/>
        </w:rPr>
        <w:t>.</w:t>
      </w:r>
      <w:r w:rsidRPr="00AA44E2">
        <w:rPr>
          <w:rFonts w:eastAsia="Times New Roman"/>
          <w:sz w:val="24"/>
          <w:szCs w:val="24"/>
          <w:lang w:eastAsia="en-US"/>
        </w:rPr>
        <w:t xml:space="preserve"> Средната</w:t>
      </w:r>
      <w:r w:rsidRPr="00AA44E2">
        <w:rPr>
          <w:rFonts w:eastAsiaTheme="minorHAnsi"/>
          <w:sz w:val="24"/>
          <w:szCs w:val="24"/>
          <w:lang w:eastAsia="en-US"/>
        </w:rPr>
        <w:t xml:space="preserve"> гъстотата на населението в община Казанлък е </w:t>
      </w:r>
      <w:r w:rsidRPr="00AA44E2">
        <w:rPr>
          <w:rFonts w:eastAsia="Times New Roman"/>
          <w:sz w:val="24"/>
          <w:szCs w:val="24"/>
          <w:lang w:eastAsia="en-US"/>
        </w:rPr>
        <w:t xml:space="preserve">114.7 д/км. </w:t>
      </w:r>
      <w:r w:rsidRPr="00AA44E2">
        <w:rPr>
          <w:rFonts w:eastAsiaTheme="minorHAnsi"/>
          <w:sz w:val="24"/>
          <w:szCs w:val="24"/>
          <w:lang w:eastAsia="en-US"/>
        </w:rPr>
        <w:t>Средната гъстота на населението е 17,5 д./кв.км2, за община Гурково.</w:t>
      </w:r>
      <w:r w:rsidRPr="00AA44E2">
        <w:rPr>
          <w:rFonts w:eastAsia="Times New Roman"/>
          <w:sz w:val="24"/>
          <w:szCs w:val="24"/>
          <w:lang w:eastAsia="en-US"/>
        </w:rPr>
        <w:t xml:space="preserve"> Средната гъстота в община Мъглиж </w:t>
      </w:r>
      <w:r w:rsidRPr="00AA44E2">
        <w:rPr>
          <w:rFonts w:eastAsiaTheme="minorHAnsi"/>
          <w:iCs/>
          <w:sz w:val="24"/>
          <w:szCs w:val="24"/>
          <w:lang w:eastAsia="en-US"/>
        </w:rPr>
        <w:t>на населението</w:t>
      </w:r>
      <w:r w:rsidRPr="00AA44E2">
        <w:rPr>
          <w:rFonts w:eastAsiaTheme="minorHAnsi"/>
          <w:sz w:val="24"/>
          <w:szCs w:val="24"/>
          <w:lang w:eastAsia="en-US"/>
        </w:rPr>
        <w:t xml:space="preserve"> е 26.2 души/кв.км .</w:t>
      </w:r>
    </w:p>
    <w:p w:rsidR="00AA44E2" w:rsidRDefault="00AA44E2" w:rsidP="00631570">
      <w:pPr>
        <w:widowControl/>
        <w:autoSpaceDE/>
        <w:autoSpaceDN/>
        <w:adjustRightInd/>
        <w:spacing w:line="276" w:lineRule="auto"/>
        <w:ind w:firstLine="567"/>
        <w:rPr>
          <w:rFonts w:eastAsia="Century Gothic"/>
          <w:sz w:val="24"/>
          <w:szCs w:val="24"/>
          <w:lang w:eastAsia="en-US"/>
        </w:rPr>
      </w:pPr>
      <w:r w:rsidRPr="00AA44E2">
        <w:rPr>
          <w:rFonts w:eastAsia="Times New Roman"/>
          <w:color w:val="000000"/>
          <w:sz w:val="24"/>
          <w:szCs w:val="24"/>
          <w:lang w:eastAsia="ar-SA"/>
        </w:rPr>
        <w:t xml:space="preserve">Територията на </w:t>
      </w:r>
      <w:r w:rsidRPr="00AA44E2">
        <w:rPr>
          <w:rFonts w:eastAsia="Century Gothic"/>
          <w:sz w:val="24"/>
          <w:szCs w:val="24"/>
          <w:lang w:eastAsia="en-US"/>
        </w:rPr>
        <w:t>Общините Мъглиж, Гурково и Казанлък са разположени в северната част на област Стара Загора и трите общини са подбалкански.</w:t>
      </w:r>
    </w:p>
    <w:p w:rsidR="00AA44E2" w:rsidRDefault="00AA44E2" w:rsidP="00631570">
      <w:pPr>
        <w:widowControl/>
        <w:autoSpaceDE/>
        <w:autoSpaceDN/>
        <w:adjustRightInd/>
        <w:spacing w:line="276" w:lineRule="auto"/>
        <w:ind w:firstLine="567"/>
        <w:rPr>
          <w:rFonts w:eastAsia="Century Gothic"/>
          <w:sz w:val="24"/>
          <w:szCs w:val="24"/>
          <w:lang w:eastAsia="en-US"/>
        </w:rPr>
      </w:pPr>
      <w:r w:rsidRPr="00AA44E2">
        <w:rPr>
          <w:rFonts w:eastAsia="Century Gothic"/>
          <w:noProof/>
          <w:sz w:val="22"/>
          <w:szCs w:val="22"/>
        </w:rPr>
        <w:drawing>
          <wp:anchor distT="0" distB="0" distL="114300" distR="114300" simplePos="0" relativeHeight="251659264" behindDoc="0" locked="0" layoutInCell="0" allowOverlap="1">
            <wp:simplePos x="0" y="0"/>
            <wp:positionH relativeFrom="page">
              <wp:posOffset>1129086</wp:posOffset>
            </wp:positionH>
            <wp:positionV relativeFrom="page">
              <wp:posOffset>3643685</wp:posOffset>
            </wp:positionV>
            <wp:extent cx="5422790" cy="3588248"/>
            <wp:effectExtent l="19050" t="19050" r="26035" b="1270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tion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5505" cy="3590044"/>
                    </a:xfrm>
                    <a:prstGeom prst="rect">
                      <a:avLst/>
                    </a:prstGeom>
                    <a:ln w="12700">
                      <a:solidFill>
                        <a:sysClr val="window" lastClr="FFFFFF"/>
                      </a:solidFill>
                    </a:ln>
                  </pic:spPr>
                </pic:pic>
              </a:graphicData>
            </a:graphic>
          </wp:anchor>
        </w:drawing>
      </w:r>
    </w:p>
    <w:p w:rsidR="00AA44E2" w:rsidRDefault="00AA44E2" w:rsidP="00631570">
      <w:pPr>
        <w:widowControl/>
        <w:autoSpaceDE/>
        <w:autoSpaceDN/>
        <w:adjustRightInd/>
        <w:spacing w:line="276" w:lineRule="auto"/>
        <w:ind w:firstLine="567"/>
        <w:rPr>
          <w:rFonts w:eastAsia="Century Gothic"/>
          <w:sz w:val="24"/>
          <w:szCs w:val="24"/>
          <w:lang w:eastAsia="en-US"/>
        </w:rPr>
      </w:pPr>
    </w:p>
    <w:p w:rsidR="00AA44E2" w:rsidRDefault="00AA44E2" w:rsidP="00631570">
      <w:pPr>
        <w:widowControl/>
        <w:autoSpaceDE/>
        <w:autoSpaceDN/>
        <w:adjustRightInd/>
        <w:spacing w:line="276" w:lineRule="auto"/>
        <w:ind w:firstLine="567"/>
        <w:rPr>
          <w:rFonts w:eastAsia="Century Gothic"/>
          <w:sz w:val="24"/>
          <w:szCs w:val="24"/>
          <w:lang w:eastAsia="en-US"/>
        </w:rPr>
      </w:pPr>
    </w:p>
    <w:p w:rsidR="00AA44E2" w:rsidRDefault="00AA44E2" w:rsidP="00631570">
      <w:pPr>
        <w:widowControl/>
        <w:autoSpaceDE/>
        <w:autoSpaceDN/>
        <w:adjustRightInd/>
        <w:spacing w:line="276" w:lineRule="auto"/>
        <w:ind w:firstLine="567"/>
        <w:rPr>
          <w:rFonts w:eastAsia="Century Gothic"/>
          <w:sz w:val="24"/>
          <w:szCs w:val="24"/>
          <w:lang w:eastAsia="en-US"/>
        </w:rPr>
      </w:pPr>
    </w:p>
    <w:p w:rsidR="00AA44E2" w:rsidRDefault="00AA44E2" w:rsidP="00631570">
      <w:pPr>
        <w:widowControl/>
        <w:autoSpaceDE/>
        <w:autoSpaceDN/>
        <w:adjustRightInd/>
        <w:spacing w:line="276" w:lineRule="auto"/>
        <w:ind w:firstLine="567"/>
        <w:rPr>
          <w:rFonts w:eastAsia="Century Gothic"/>
          <w:sz w:val="24"/>
          <w:szCs w:val="24"/>
          <w:lang w:eastAsia="en-US"/>
        </w:rPr>
      </w:pPr>
    </w:p>
    <w:p w:rsidR="00AA44E2" w:rsidRDefault="00AA44E2" w:rsidP="00631570">
      <w:pPr>
        <w:widowControl/>
        <w:autoSpaceDE/>
        <w:autoSpaceDN/>
        <w:adjustRightInd/>
        <w:spacing w:line="276" w:lineRule="auto"/>
        <w:ind w:firstLine="567"/>
        <w:rPr>
          <w:rFonts w:eastAsia="Century Gothic"/>
          <w:sz w:val="24"/>
          <w:szCs w:val="24"/>
          <w:lang w:eastAsia="en-US"/>
        </w:rPr>
      </w:pPr>
    </w:p>
    <w:p w:rsidR="00AA44E2" w:rsidRDefault="00AA44E2" w:rsidP="00631570">
      <w:pPr>
        <w:widowControl/>
        <w:autoSpaceDE/>
        <w:autoSpaceDN/>
        <w:adjustRightInd/>
        <w:spacing w:line="276" w:lineRule="auto"/>
        <w:ind w:firstLine="567"/>
        <w:rPr>
          <w:rFonts w:eastAsia="Century Gothic"/>
          <w:sz w:val="24"/>
          <w:szCs w:val="24"/>
          <w:lang w:eastAsia="en-US"/>
        </w:rPr>
      </w:pPr>
    </w:p>
    <w:p w:rsidR="00AA44E2" w:rsidRDefault="00AA44E2" w:rsidP="00631570">
      <w:pPr>
        <w:widowControl/>
        <w:autoSpaceDE/>
        <w:autoSpaceDN/>
        <w:adjustRightInd/>
        <w:spacing w:line="276" w:lineRule="auto"/>
        <w:ind w:firstLine="567"/>
        <w:rPr>
          <w:rFonts w:eastAsia="Century Gothic"/>
          <w:sz w:val="24"/>
          <w:szCs w:val="24"/>
          <w:lang w:eastAsia="en-US"/>
        </w:rPr>
      </w:pPr>
    </w:p>
    <w:p w:rsidR="00AA44E2" w:rsidRDefault="00AA44E2" w:rsidP="00631570">
      <w:pPr>
        <w:widowControl/>
        <w:autoSpaceDE/>
        <w:autoSpaceDN/>
        <w:adjustRightInd/>
        <w:spacing w:line="276" w:lineRule="auto"/>
        <w:ind w:firstLine="567"/>
        <w:rPr>
          <w:rFonts w:eastAsia="Century Gothic"/>
          <w:sz w:val="24"/>
          <w:szCs w:val="24"/>
          <w:lang w:eastAsia="en-US"/>
        </w:rPr>
      </w:pPr>
    </w:p>
    <w:p w:rsidR="00AA44E2" w:rsidRDefault="00AA44E2" w:rsidP="00631570">
      <w:pPr>
        <w:widowControl/>
        <w:autoSpaceDE/>
        <w:autoSpaceDN/>
        <w:adjustRightInd/>
        <w:spacing w:line="276" w:lineRule="auto"/>
        <w:ind w:firstLine="567"/>
        <w:rPr>
          <w:rFonts w:eastAsia="Century Gothic"/>
          <w:sz w:val="24"/>
          <w:szCs w:val="24"/>
          <w:lang w:eastAsia="en-US"/>
        </w:rPr>
      </w:pPr>
    </w:p>
    <w:p w:rsidR="00AA44E2" w:rsidRDefault="00AA44E2" w:rsidP="00631570">
      <w:pPr>
        <w:widowControl/>
        <w:autoSpaceDE/>
        <w:autoSpaceDN/>
        <w:adjustRightInd/>
        <w:spacing w:line="276" w:lineRule="auto"/>
        <w:ind w:firstLine="567"/>
        <w:rPr>
          <w:rFonts w:eastAsia="Century Gothic"/>
          <w:sz w:val="24"/>
          <w:szCs w:val="24"/>
          <w:lang w:eastAsia="en-US"/>
        </w:rPr>
      </w:pPr>
    </w:p>
    <w:p w:rsidR="00AA44E2" w:rsidRDefault="00AA44E2" w:rsidP="00631570">
      <w:pPr>
        <w:widowControl/>
        <w:autoSpaceDE/>
        <w:autoSpaceDN/>
        <w:adjustRightInd/>
        <w:spacing w:line="276" w:lineRule="auto"/>
        <w:ind w:firstLine="567"/>
        <w:rPr>
          <w:rFonts w:eastAsia="Century Gothic"/>
          <w:sz w:val="24"/>
          <w:szCs w:val="24"/>
          <w:lang w:eastAsia="en-US"/>
        </w:rPr>
      </w:pPr>
    </w:p>
    <w:p w:rsidR="00AA44E2" w:rsidRPr="00AA44E2" w:rsidRDefault="00AA44E2" w:rsidP="00631570">
      <w:pPr>
        <w:widowControl/>
        <w:autoSpaceDE/>
        <w:autoSpaceDN/>
        <w:adjustRightInd/>
        <w:spacing w:line="276" w:lineRule="auto"/>
        <w:ind w:firstLine="567"/>
        <w:jc w:val="both"/>
        <w:rPr>
          <w:rFonts w:eastAsia="Times New Roman"/>
          <w:sz w:val="24"/>
          <w:szCs w:val="24"/>
          <w:lang w:eastAsia="en-US"/>
        </w:rPr>
      </w:pPr>
      <w:r w:rsidRPr="00AA44E2">
        <w:rPr>
          <w:rFonts w:eastAsia="Times New Roman"/>
          <w:sz w:val="24"/>
          <w:szCs w:val="24"/>
        </w:rPr>
        <w:t xml:space="preserve">Населението </w:t>
      </w:r>
      <w:r w:rsidRPr="00AA44E2">
        <w:rPr>
          <w:rFonts w:eastAsia="Century Gothic"/>
          <w:color w:val="000000"/>
          <w:sz w:val="24"/>
          <w:szCs w:val="24"/>
          <w:lang w:eastAsia="en-US"/>
        </w:rPr>
        <w:t>в обхванатата територия  в МИГ е 39352</w:t>
      </w:r>
      <w:r w:rsidRPr="00AA44E2">
        <w:rPr>
          <w:rFonts w:eastAsia="Century Gothic"/>
          <w:color w:val="000000"/>
          <w:sz w:val="24"/>
          <w:szCs w:val="24"/>
          <w:lang w:val="en-US" w:eastAsia="en-US"/>
        </w:rPr>
        <w:t>.</w:t>
      </w:r>
      <w:r w:rsidRPr="00AA44E2">
        <w:rPr>
          <w:rFonts w:eastAsia="Arial Unicode MS"/>
          <w:sz w:val="24"/>
          <w:szCs w:val="24"/>
          <w:lang w:eastAsia="en-US" w:bidi="my-MM"/>
        </w:rPr>
        <w:t xml:space="preserve">. </w:t>
      </w:r>
      <w:r w:rsidRPr="00AA44E2">
        <w:rPr>
          <w:rFonts w:eastAsiaTheme="minorHAnsi"/>
          <w:color w:val="000000"/>
          <w:sz w:val="24"/>
          <w:szCs w:val="24"/>
          <w:lang w:eastAsia="en-US"/>
        </w:rPr>
        <w:t>Населението обхванато от МИГ съставлява 12% от населението на област Стара Загора, 3.6% от населението на Югоизточен район и 0.54% от населението на страната.</w:t>
      </w:r>
      <w:r w:rsidRPr="00AA44E2">
        <w:rPr>
          <w:rFonts w:eastAsiaTheme="minorHAnsi"/>
          <w:sz w:val="24"/>
          <w:szCs w:val="24"/>
          <w:lang w:eastAsia="en-US"/>
        </w:rPr>
        <w:t xml:space="preserve"> В селата живее 73,69% от населението. </w:t>
      </w:r>
      <w:r w:rsidRPr="00AA44E2">
        <w:rPr>
          <w:rFonts w:eastAsia="Times New Roman"/>
          <w:sz w:val="24"/>
          <w:szCs w:val="24"/>
          <w:lang w:eastAsia="en-US"/>
        </w:rPr>
        <w:t xml:space="preserve">Степента на урбанизация на територията на МИГА(делът на градското население) е 28.5%.  </w:t>
      </w:r>
    </w:p>
    <w:p w:rsidR="00AA44E2" w:rsidRPr="00AA44E2" w:rsidRDefault="00AA44E2" w:rsidP="00631570">
      <w:pPr>
        <w:widowControl/>
        <w:autoSpaceDE/>
        <w:autoSpaceDN/>
        <w:adjustRightInd/>
        <w:spacing w:line="276" w:lineRule="auto"/>
        <w:ind w:firstLine="567"/>
        <w:jc w:val="both"/>
        <w:rPr>
          <w:rFonts w:eastAsia="Times New Roman"/>
          <w:sz w:val="24"/>
          <w:szCs w:val="24"/>
        </w:rPr>
      </w:pPr>
      <w:r w:rsidRPr="00AA44E2">
        <w:rPr>
          <w:rFonts w:eastAsia="Century Gothic"/>
          <w:sz w:val="24"/>
          <w:szCs w:val="24"/>
          <w:lang w:eastAsia="en-US"/>
        </w:rPr>
        <w:t xml:space="preserve">Населените места от територията на сформирания МИГ имат добра транспортна свързаност с основни национални магистрали и първокласни пътища. </w:t>
      </w:r>
      <w:r w:rsidRPr="00AA44E2">
        <w:rPr>
          <w:rFonts w:eastAsia="Times New Roman"/>
          <w:sz w:val="24"/>
          <w:szCs w:val="24"/>
        </w:rPr>
        <w:t xml:space="preserve">Територията на МИГ има добре изградена мрежа от водни ресурси,  има действащи язовири,  преминава река Тунджа и нейните притоци. </w:t>
      </w:r>
    </w:p>
    <w:p w:rsidR="00AA44E2" w:rsidRPr="00AA44E2" w:rsidRDefault="00AA44E2" w:rsidP="00631570">
      <w:pPr>
        <w:pStyle w:val="doc-ti"/>
        <w:spacing w:before="0" w:beforeAutospacing="0" w:after="0" w:afterAutospacing="0" w:line="276" w:lineRule="auto"/>
        <w:ind w:firstLine="567"/>
        <w:jc w:val="both"/>
        <w:rPr>
          <w:b/>
        </w:rPr>
      </w:pPr>
      <w:r w:rsidRPr="00AA44E2">
        <w:rPr>
          <w:b/>
        </w:rPr>
        <w:t>Организационна структура на МИГ „МКГ“</w:t>
      </w:r>
    </w:p>
    <w:p w:rsidR="00AA44E2" w:rsidRPr="00AA44E2" w:rsidRDefault="00AA44E2" w:rsidP="00631570">
      <w:pPr>
        <w:widowControl/>
        <w:numPr>
          <w:ilvl w:val="0"/>
          <w:numId w:val="1"/>
        </w:numPr>
        <w:autoSpaceDE/>
        <w:autoSpaceDN/>
        <w:adjustRightInd/>
        <w:spacing w:line="276" w:lineRule="auto"/>
        <w:ind w:left="0" w:firstLine="567"/>
        <w:contextualSpacing/>
        <w:jc w:val="both"/>
        <w:rPr>
          <w:rFonts w:eastAsia="Times New Roman"/>
          <w:sz w:val="24"/>
          <w:szCs w:val="24"/>
        </w:rPr>
      </w:pPr>
      <w:r w:rsidRPr="00AA44E2">
        <w:rPr>
          <w:rFonts w:eastAsia="Times New Roman"/>
          <w:sz w:val="24"/>
          <w:szCs w:val="24"/>
        </w:rPr>
        <w:t>Организационна структура на МИГ</w:t>
      </w:r>
    </w:p>
    <w:p w:rsidR="00AA44E2" w:rsidRPr="00AA44E2" w:rsidRDefault="00AA44E2" w:rsidP="00631570">
      <w:pPr>
        <w:widowControl/>
        <w:autoSpaceDE/>
        <w:autoSpaceDN/>
        <w:adjustRightInd/>
        <w:spacing w:line="276" w:lineRule="auto"/>
        <w:ind w:firstLine="567"/>
        <w:jc w:val="both"/>
        <w:rPr>
          <w:rFonts w:eastAsia="Times New Roman"/>
          <w:bCs/>
          <w:sz w:val="24"/>
          <w:szCs w:val="24"/>
        </w:rPr>
      </w:pPr>
      <w:r w:rsidRPr="00AA44E2">
        <w:rPr>
          <w:rFonts w:eastAsia="Times New Roman"/>
          <w:bCs/>
          <w:sz w:val="24"/>
          <w:szCs w:val="24"/>
        </w:rPr>
        <w:t xml:space="preserve">Сдружение “Местна инициативна група – Мъглиж, Казанлък, Гурково” е учредено на 09.03.2016 г. и е вписано в регистъра при Старозагорския окръжен съд с Решение № 101 от 20.04.2016 г. по </w:t>
      </w:r>
      <w:proofErr w:type="spellStart"/>
      <w:r w:rsidRPr="00AA44E2">
        <w:rPr>
          <w:rFonts w:eastAsia="Times New Roman"/>
          <w:bCs/>
          <w:sz w:val="24"/>
          <w:szCs w:val="24"/>
        </w:rPr>
        <w:t>фирм</w:t>
      </w:r>
      <w:proofErr w:type="spellEnd"/>
      <w:r w:rsidRPr="00AA44E2">
        <w:rPr>
          <w:rFonts w:eastAsia="Times New Roman"/>
          <w:bCs/>
          <w:sz w:val="24"/>
          <w:szCs w:val="24"/>
        </w:rPr>
        <w:t xml:space="preserve">. дело № 22/ 2016 г. МИГ - Мъглиж, Казанлък, Гурково е ЮЛНСЦ е създадено с цел да, след одобрение  на Стратегията от МЗХ да я приложи в рамките на подхода Водено от общностите местно развитие на територията на общините Мъглиж, Казанлък, Гурково.  Сдружението има седалище и адрес на управление: гр. Мъглиж - 6180, пл. “Трети март” № 32, етаж 1. </w:t>
      </w:r>
    </w:p>
    <w:p w:rsidR="00AA44E2" w:rsidRPr="00AA44E2" w:rsidRDefault="00AA44E2" w:rsidP="00631570">
      <w:pPr>
        <w:widowControl/>
        <w:autoSpaceDE/>
        <w:autoSpaceDN/>
        <w:adjustRightInd/>
        <w:spacing w:line="276" w:lineRule="auto"/>
        <w:ind w:firstLine="567"/>
        <w:jc w:val="both"/>
        <w:rPr>
          <w:rFonts w:eastAsia="Times New Roman"/>
          <w:bCs/>
          <w:sz w:val="24"/>
          <w:szCs w:val="24"/>
        </w:rPr>
      </w:pPr>
      <w:r w:rsidRPr="00AA44E2">
        <w:rPr>
          <w:rFonts w:eastAsia="Times New Roman"/>
          <w:bCs/>
          <w:sz w:val="24"/>
          <w:szCs w:val="24"/>
        </w:rPr>
        <w:t xml:space="preserve">Предметът на дейност на сдружението е да подобрява качеството на живот на МИГ-територията, като съдейства за ефективно прилагане на подхода ВОМРС чрез изпълнение на стратегията. </w:t>
      </w:r>
    </w:p>
    <w:p w:rsidR="00AA44E2" w:rsidRDefault="00AA44E2" w:rsidP="00631570">
      <w:pPr>
        <w:pStyle w:val="doc-ti"/>
        <w:spacing w:before="0" w:beforeAutospacing="0" w:after="0" w:afterAutospacing="0" w:line="276" w:lineRule="auto"/>
        <w:ind w:firstLine="567"/>
        <w:jc w:val="both"/>
        <w:rPr>
          <w:b/>
        </w:rPr>
      </w:pPr>
      <w:r w:rsidRPr="00DA7626">
        <w:rPr>
          <w:noProof/>
        </w:rPr>
        <w:lastRenderedPageBreak/>
        <w:drawing>
          <wp:inline distT="0" distB="0" distL="0" distR="0">
            <wp:extent cx="5088835" cy="3937346"/>
            <wp:effectExtent l="0" t="0" r="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8955" cy="3937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4E2" w:rsidRDefault="00AA44E2" w:rsidP="00631570">
      <w:pPr>
        <w:pStyle w:val="doc-ti"/>
        <w:spacing w:before="0" w:beforeAutospacing="0" w:after="0" w:afterAutospacing="0" w:line="276" w:lineRule="auto"/>
        <w:ind w:firstLine="567"/>
        <w:jc w:val="both"/>
        <w:rPr>
          <w:b/>
          <w:sz w:val="28"/>
          <w:szCs w:val="28"/>
        </w:rPr>
      </w:pPr>
    </w:p>
    <w:p w:rsidR="00AA44E2" w:rsidRPr="00AA44E2" w:rsidRDefault="00AA44E2" w:rsidP="00631570">
      <w:pPr>
        <w:widowControl/>
        <w:spacing w:line="276" w:lineRule="auto"/>
        <w:ind w:firstLine="567"/>
        <w:rPr>
          <w:rFonts w:eastAsiaTheme="minorHAnsi"/>
          <w:b/>
          <w:sz w:val="24"/>
          <w:szCs w:val="24"/>
          <w:lang w:eastAsia="en-US"/>
        </w:rPr>
      </w:pPr>
      <w:r w:rsidRPr="00AA44E2">
        <w:rPr>
          <w:rFonts w:eastAsiaTheme="minorHAnsi"/>
          <w:b/>
          <w:bCs/>
          <w:sz w:val="24"/>
          <w:szCs w:val="24"/>
          <w:lang w:eastAsia="en-US"/>
        </w:rPr>
        <w:t xml:space="preserve">Органи за управление и контрол </w:t>
      </w:r>
      <w:r w:rsidRPr="00AA44E2">
        <w:rPr>
          <w:rFonts w:eastAsiaTheme="minorHAnsi"/>
          <w:b/>
          <w:sz w:val="24"/>
          <w:szCs w:val="24"/>
          <w:lang w:eastAsia="en-US"/>
        </w:rPr>
        <w:t>на Сдружение МИГ“МКГ“:</w:t>
      </w:r>
    </w:p>
    <w:p w:rsidR="00AA44E2" w:rsidRPr="00AA44E2" w:rsidRDefault="00AA44E2" w:rsidP="00631570">
      <w:pPr>
        <w:widowControl/>
        <w:spacing w:line="276" w:lineRule="auto"/>
        <w:ind w:firstLine="567"/>
        <w:rPr>
          <w:rFonts w:eastAsiaTheme="minorHAnsi"/>
          <w:sz w:val="24"/>
          <w:szCs w:val="24"/>
          <w:lang w:eastAsia="en-US"/>
        </w:rPr>
      </w:pPr>
      <w:r w:rsidRPr="00AA44E2">
        <w:rPr>
          <w:rFonts w:eastAsiaTheme="minorHAnsi"/>
          <w:sz w:val="24"/>
          <w:szCs w:val="24"/>
          <w:lang w:eastAsia="en-US"/>
        </w:rPr>
        <w:t>- Общо събрание (ОС);</w:t>
      </w:r>
    </w:p>
    <w:p w:rsidR="00AA44E2" w:rsidRPr="00AA44E2" w:rsidRDefault="00AA44E2" w:rsidP="00631570">
      <w:pPr>
        <w:widowControl/>
        <w:spacing w:line="276" w:lineRule="auto"/>
        <w:ind w:firstLine="567"/>
        <w:rPr>
          <w:rFonts w:eastAsiaTheme="minorHAnsi"/>
          <w:sz w:val="24"/>
          <w:szCs w:val="24"/>
          <w:lang w:eastAsia="en-US"/>
        </w:rPr>
      </w:pPr>
      <w:r w:rsidRPr="00AA44E2">
        <w:rPr>
          <w:rFonts w:eastAsiaTheme="minorHAnsi"/>
          <w:sz w:val="24"/>
          <w:szCs w:val="24"/>
          <w:lang w:eastAsia="en-US"/>
        </w:rPr>
        <w:t>- Управителен съвет (УС);</w:t>
      </w:r>
    </w:p>
    <w:p w:rsidR="00AA44E2" w:rsidRPr="00AA44E2" w:rsidRDefault="00AA44E2" w:rsidP="00631570">
      <w:pPr>
        <w:widowControl/>
        <w:autoSpaceDE/>
        <w:autoSpaceDN/>
        <w:adjustRightInd/>
        <w:spacing w:line="276" w:lineRule="auto"/>
        <w:ind w:firstLine="567"/>
        <w:jc w:val="both"/>
        <w:rPr>
          <w:rFonts w:eastAsia="Times New Roman"/>
          <w:sz w:val="24"/>
          <w:szCs w:val="24"/>
        </w:rPr>
      </w:pPr>
      <w:r w:rsidRPr="00AA44E2">
        <w:rPr>
          <w:rFonts w:eastAsiaTheme="minorHAnsi"/>
          <w:sz w:val="24"/>
          <w:szCs w:val="24"/>
          <w:lang w:eastAsia="en-US"/>
        </w:rPr>
        <w:t xml:space="preserve"> </w:t>
      </w:r>
      <w:r w:rsidRPr="00AA44E2">
        <w:rPr>
          <w:rFonts w:eastAsia="Times New Roman"/>
          <w:sz w:val="24"/>
          <w:szCs w:val="24"/>
        </w:rPr>
        <w:t xml:space="preserve">Управителният съвет е постоянно действащ орган за управление на Сдружението. Дейността му се ръководи от Председателя на УС. </w:t>
      </w:r>
    </w:p>
    <w:p w:rsidR="00AA44E2" w:rsidRPr="00AA44E2" w:rsidRDefault="00AA44E2" w:rsidP="00631570">
      <w:pPr>
        <w:widowControl/>
        <w:autoSpaceDE/>
        <w:autoSpaceDN/>
        <w:adjustRightInd/>
        <w:spacing w:line="276" w:lineRule="auto"/>
        <w:ind w:firstLine="567"/>
        <w:jc w:val="both"/>
        <w:rPr>
          <w:rFonts w:eastAsiaTheme="minorHAnsi"/>
          <w:sz w:val="24"/>
          <w:szCs w:val="24"/>
          <w:lang w:eastAsia="en-US"/>
        </w:rPr>
      </w:pPr>
      <w:r w:rsidRPr="00AA44E2">
        <w:rPr>
          <w:rFonts w:eastAsiaTheme="minorHAnsi"/>
          <w:sz w:val="24"/>
          <w:szCs w:val="24"/>
          <w:lang w:eastAsia="en-US"/>
        </w:rPr>
        <w:t xml:space="preserve">МИГ“МКГ“: включва в колективните си органи представители на различни заинтересовани страни от местната общност. Представителите на публичния сектор,представителите на стопанския сектор и представителите на нестопанския сектор в колективния върховен орган и в колективния управителен орган на МИГ не превишават 49 на сто от имащите право на глас, съгласно чл. 28, ал. 1 от ЗЮЛНЦ. </w:t>
      </w:r>
    </w:p>
    <w:p w:rsidR="00AA44E2" w:rsidRPr="00AA44E2" w:rsidRDefault="00AA44E2" w:rsidP="00631570">
      <w:pPr>
        <w:widowControl/>
        <w:autoSpaceDE/>
        <w:autoSpaceDN/>
        <w:adjustRightInd/>
        <w:spacing w:line="276" w:lineRule="auto"/>
        <w:ind w:firstLine="567"/>
        <w:jc w:val="both"/>
        <w:rPr>
          <w:rFonts w:eastAsia="Times New Roman"/>
          <w:sz w:val="24"/>
          <w:szCs w:val="24"/>
        </w:rPr>
      </w:pPr>
      <w:r w:rsidRPr="00AA44E2">
        <w:rPr>
          <w:rFonts w:eastAsia="Times New Roman"/>
          <w:snapToGrid w:val="0"/>
          <w:sz w:val="24"/>
          <w:szCs w:val="24"/>
          <w:lang w:eastAsia="en-US" w:bidi="en-US"/>
        </w:rPr>
        <w:t>Колективен върховен орган на МИГ „МКГ” e Общото събрание (</w:t>
      </w:r>
      <w:r w:rsidRPr="00AA44E2">
        <w:rPr>
          <w:rFonts w:eastAsia="Times New Roman"/>
          <w:i/>
          <w:snapToGrid w:val="0"/>
          <w:sz w:val="24"/>
          <w:szCs w:val="24"/>
          <w:lang w:eastAsia="en-US" w:bidi="en-US"/>
        </w:rPr>
        <w:t>Приложение Устав на Сдружението, Списък на лицата в колективния орган</w:t>
      </w:r>
      <w:r w:rsidRPr="00AA44E2">
        <w:rPr>
          <w:rFonts w:eastAsia="Times New Roman"/>
          <w:snapToGrid w:val="0"/>
          <w:sz w:val="24"/>
          <w:szCs w:val="24"/>
          <w:lang w:eastAsia="en-US" w:bidi="en-US"/>
        </w:rPr>
        <w:t xml:space="preserve">). Общото събрание се състои от: </w:t>
      </w:r>
      <w:r w:rsidRPr="00AA44E2">
        <w:rPr>
          <w:rFonts w:eastAsia="Times New Roman"/>
          <w:bCs/>
          <w:sz w:val="24"/>
          <w:szCs w:val="24"/>
          <w:lang w:eastAsia="en-US" w:bidi="en-US"/>
        </w:rPr>
        <w:t xml:space="preserve">Представители </w:t>
      </w:r>
      <w:r w:rsidRPr="00AA44E2">
        <w:rPr>
          <w:rFonts w:eastAsia="Times New Roman"/>
          <w:sz w:val="24"/>
          <w:szCs w:val="24"/>
          <w:lang w:eastAsia="en-US" w:bidi="en-US"/>
        </w:rPr>
        <w:t xml:space="preserve">на администрация са </w:t>
      </w:r>
      <w:proofErr w:type="spellStart"/>
      <w:r w:rsidRPr="00AA44E2">
        <w:rPr>
          <w:rFonts w:eastAsia="Times New Roman"/>
          <w:sz w:val="24"/>
          <w:szCs w:val="24"/>
          <w:lang w:eastAsia="en-US" w:bidi="en-US"/>
        </w:rPr>
        <w:t>обшина</w:t>
      </w:r>
      <w:proofErr w:type="spellEnd"/>
      <w:r w:rsidRPr="00AA44E2">
        <w:rPr>
          <w:rFonts w:eastAsia="Times New Roman"/>
          <w:sz w:val="24"/>
          <w:szCs w:val="24"/>
          <w:lang w:eastAsia="en-US" w:bidi="en-US"/>
        </w:rPr>
        <w:t xml:space="preserve"> Мъглиж 2, Гурково-1, Казанлък-1 т.е. администрацията е 8%. Сектора на НПО и на гражданските структури е представен от 21 члена (45%). Най-голямо представителство има стопанския сектор 22 члена (47%).</w:t>
      </w:r>
    </w:p>
    <w:p w:rsidR="00AA44E2" w:rsidRPr="00AA44E2" w:rsidRDefault="00AA44E2" w:rsidP="00631570">
      <w:pPr>
        <w:widowControl/>
        <w:autoSpaceDE/>
        <w:autoSpaceDN/>
        <w:adjustRightInd/>
        <w:spacing w:line="276" w:lineRule="auto"/>
        <w:ind w:firstLine="567"/>
        <w:jc w:val="both"/>
        <w:rPr>
          <w:rFonts w:eastAsiaTheme="minorHAnsi"/>
          <w:sz w:val="24"/>
          <w:szCs w:val="24"/>
          <w:lang w:eastAsia="en-US"/>
        </w:rPr>
      </w:pPr>
      <w:r w:rsidRPr="00AA44E2">
        <w:rPr>
          <w:rFonts w:eastAsiaTheme="minorHAnsi"/>
          <w:b/>
          <w:sz w:val="24"/>
          <w:szCs w:val="24"/>
          <w:lang w:eastAsia="en-US"/>
        </w:rPr>
        <w:t>Управителен съвет:</w:t>
      </w:r>
      <w:r w:rsidRPr="00AA44E2">
        <w:rPr>
          <w:rFonts w:eastAsiaTheme="minorHAnsi"/>
          <w:sz w:val="24"/>
          <w:szCs w:val="24"/>
          <w:lang w:eastAsia="en-US"/>
        </w:rPr>
        <w:t xml:space="preserve"> Управителен орган на МИГ„МКГ“</w:t>
      </w:r>
      <w:r w:rsidRPr="00AA44E2">
        <w:rPr>
          <w:rFonts w:eastAsiaTheme="minorHAnsi"/>
          <w:sz w:val="24"/>
          <w:szCs w:val="24"/>
          <w:lang w:val="en-US" w:eastAsia="en-US"/>
        </w:rPr>
        <w:t xml:space="preserve"> </w:t>
      </w:r>
      <w:r w:rsidRPr="00AA44E2">
        <w:rPr>
          <w:rFonts w:eastAsiaTheme="minorHAnsi"/>
          <w:sz w:val="24"/>
          <w:szCs w:val="24"/>
          <w:lang w:eastAsia="en-US"/>
        </w:rPr>
        <w:t xml:space="preserve">е Управителния съвет, който е постоянно действащ орган за управление на Сдружението. Дейността му се ръководи от Председателя на УС. Управителният съвет (УС) на МИГА се състои се от 9 лица (1 председател и 8 члена), които представляват сдружението (чл. 49 от Устава). </w:t>
      </w:r>
      <w:r w:rsidRPr="00AA44E2">
        <w:rPr>
          <w:rFonts w:eastAsiaTheme="minorHAnsi"/>
          <w:sz w:val="24"/>
          <w:szCs w:val="24"/>
          <w:lang w:eastAsia="en-US"/>
        </w:rPr>
        <w:lastRenderedPageBreak/>
        <w:t>Членовете на УС имат</w:t>
      </w:r>
      <w:r w:rsidRPr="00AA44E2">
        <w:rPr>
          <w:rFonts w:eastAsiaTheme="minorHAnsi"/>
          <w:sz w:val="24"/>
          <w:szCs w:val="24"/>
          <w:lang w:eastAsia="en-US" w:bidi="my-MM"/>
        </w:rPr>
        <w:t xml:space="preserve"> постоянен адрес на територията на действие на МИГ, избрани с</w:t>
      </w:r>
      <w:r w:rsidRPr="00AA44E2">
        <w:rPr>
          <w:rFonts w:eastAsiaTheme="minorHAnsi"/>
          <w:sz w:val="24"/>
          <w:szCs w:val="24"/>
          <w:lang w:eastAsia="en-US"/>
        </w:rPr>
        <w:t xml:space="preserve"> мандат от пет години. Определянето на членовете на колективния управителен орган е извършено в съответствие с изискването на Наредба 22/14.12.20125 по отношение процентното участие на икономическите и социалните партньори, както и на другите представители на гражданското общество.</w:t>
      </w:r>
    </w:p>
    <w:p w:rsidR="00AA44E2" w:rsidRPr="00AA44E2" w:rsidRDefault="00AA44E2" w:rsidP="00631570">
      <w:pPr>
        <w:widowControl/>
        <w:spacing w:line="276" w:lineRule="auto"/>
        <w:ind w:firstLine="567"/>
        <w:jc w:val="both"/>
        <w:rPr>
          <w:rFonts w:eastAsia="Times New Roman"/>
          <w:sz w:val="24"/>
          <w:szCs w:val="24"/>
          <w:shd w:val="clear" w:color="auto" w:fill="FEFEFE"/>
        </w:rPr>
      </w:pPr>
      <w:r w:rsidRPr="00AA44E2">
        <w:rPr>
          <w:rFonts w:eastAsiaTheme="minorHAnsi"/>
          <w:b/>
          <w:bCs/>
          <w:sz w:val="24"/>
          <w:szCs w:val="24"/>
          <w:lang w:eastAsia="en-US"/>
        </w:rPr>
        <w:t xml:space="preserve">Председателят на УС </w:t>
      </w:r>
      <w:r w:rsidRPr="00AA44E2">
        <w:rPr>
          <w:rFonts w:eastAsiaTheme="minorHAnsi"/>
          <w:sz w:val="24"/>
          <w:szCs w:val="24"/>
          <w:lang w:eastAsia="en-US"/>
        </w:rPr>
        <w:t xml:space="preserve">ръководи оперативно текущата дейност съгласно правомощията </w:t>
      </w:r>
      <w:r w:rsidRPr="00AA44E2">
        <w:rPr>
          <w:rFonts w:eastAsia="Times New Roman"/>
          <w:sz w:val="24"/>
          <w:szCs w:val="24"/>
        </w:rPr>
        <w:t>(чл. 61 от Устава);</w:t>
      </w:r>
      <w:r w:rsidRPr="00AA44E2">
        <w:rPr>
          <w:rFonts w:eastAsiaTheme="minorHAnsi"/>
          <w:sz w:val="24"/>
          <w:szCs w:val="24"/>
          <w:lang w:eastAsia="en-US"/>
        </w:rPr>
        <w:t>; представлява МИГ пред трети лица, пред държавните органи, обществените организации и други физически и юридически лица в страната и чужбина; подготвя и предлага проекти за решения на УС; свиква и ръководи заседанията на УС; отчита се за дейността си пред УС; след одобрение на щатното разписание от УС назначава, освобождава изпълнителния директор; подписва договори за финансиране на проекти от страна на МИГ с бенефициенти по СВОМР. Председателят предлага за одобрение на УС годишните планове за мониторинг (Екипът на МИГ разработва годишни доклади за мониторинг, годишни доклади за изпълнение на  Стратегията. Годишните доклади и отчетността на изпълнение на бюджета се одобрява от УС и се приема от ОС.</w:t>
      </w:r>
    </w:p>
    <w:p w:rsidR="00AA44E2" w:rsidRPr="00AA44E2" w:rsidRDefault="00AA44E2" w:rsidP="00631570">
      <w:pPr>
        <w:widowControl/>
        <w:autoSpaceDE/>
        <w:autoSpaceDN/>
        <w:adjustRightInd/>
        <w:spacing w:line="276" w:lineRule="auto"/>
        <w:ind w:firstLine="567"/>
        <w:jc w:val="both"/>
        <w:rPr>
          <w:rFonts w:eastAsiaTheme="minorHAnsi"/>
          <w:sz w:val="24"/>
          <w:szCs w:val="24"/>
          <w:lang w:eastAsia="en-US"/>
        </w:rPr>
      </w:pPr>
      <w:r w:rsidRPr="00AA44E2">
        <w:rPr>
          <w:rFonts w:eastAsiaTheme="minorHAnsi"/>
          <w:b/>
          <w:bCs/>
          <w:sz w:val="24"/>
          <w:szCs w:val="24"/>
          <w:lang w:eastAsia="en-US"/>
        </w:rPr>
        <w:t>Комисия за избор и оценка на проекти</w:t>
      </w:r>
      <w:r w:rsidRPr="00AA44E2">
        <w:rPr>
          <w:rFonts w:eastAsiaTheme="minorHAnsi"/>
          <w:sz w:val="24"/>
          <w:szCs w:val="24"/>
          <w:lang w:eastAsia="en-US"/>
        </w:rPr>
        <w:t>. Тя се сформира за</w:t>
      </w:r>
      <w:r w:rsidRPr="00AA44E2">
        <w:rPr>
          <w:rFonts w:eastAsiaTheme="minorHAnsi"/>
          <w:sz w:val="24"/>
          <w:szCs w:val="24"/>
          <w:lang w:val="en-US" w:eastAsia="en-US"/>
        </w:rPr>
        <w:t xml:space="preserve"> </w:t>
      </w:r>
      <w:r w:rsidRPr="00AA44E2">
        <w:rPr>
          <w:rFonts w:eastAsiaTheme="minorHAnsi"/>
          <w:sz w:val="24"/>
          <w:szCs w:val="24"/>
          <w:lang w:eastAsia="en-US"/>
        </w:rPr>
        <w:t>всеки отделен случай при публикуване на обява от МИГ за</w:t>
      </w:r>
      <w:r w:rsidRPr="00AA44E2">
        <w:rPr>
          <w:rFonts w:eastAsiaTheme="minorHAnsi"/>
          <w:sz w:val="24"/>
          <w:szCs w:val="24"/>
          <w:lang w:val="en-US" w:eastAsia="en-US"/>
        </w:rPr>
        <w:t xml:space="preserve"> </w:t>
      </w:r>
      <w:r w:rsidRPr="00AA44E2">
        <w:rPr>
          <w:rFonts w:eastAsiaTheme="minorHAnsi"/>
          <w:sz w:val="24"/>
          <w:szCs w:val="24"/>
          <w:lang w:eastAsia="en-US"/>
        </w:rPr>
        <w:t>набиране на проекти за изпълнение на мерките по СВОМР.</w:t>
      </w:r>
    </w:p>
    <w:p w:rsidR="00AA44E2" w:rsidRPr="00AA44E2" w:rsidRDefault="00AA44E2" w:rsidP="00631570">
      <w:pPr>
        <w:spacing w:line="276" w:lineRule="auto"/>
        <w:ind w:firstLine="567"/>
        <w:jc w:val="both"/>
        <w:textAlignment w:val="center"/>
        <w:rPr>
          <w:sz w:val="24"/>
          <w:szCs w:val="24"/>
        </w:rPr>
      </w:pPr>
      <w:r w:rsidRPr="00AA44E2">
        <w:rPr>
          <w:sz w:val="24"/>
          <w:szCs w:val="24"/>
          <w:lang w:eastAsia="en-US" w:bidi="my-MM"/>
        </w:rPr>
        <w:t>Оперативното</w:t>
      </w:r>
      <w:r w:rsidRPr="00AA44E2">
        <w:rPr>
          <w:sz w:val="24"/>
          <w:szCs w:val="24"/>
        </w:rPr>
        <w:t xml:space="preserve"> ръководство по прилагане на СВОМР развитие се осъществява от изпълнителния директор на сдружението. Изпълнителният директор се избира от УС, съгласно условията на Наредба 22/2015г. </w:t>
      </w:r>
      <w:r w:rsidRPr="00AA44E2">
        <w:rPr>
          <w:rFonts w:eastAsia="Times New Roman"/>
          <w:sz w:val="24"/>
          <w:szCs w:val="24"/>
          <w:lang w:eastAsia="pl-PL"/>
        </w:rPr>
        <w:t>Изпълнителният директор се назначава от Председателят на Управителния съвет на МИГ„МКГ“ след одобряване и финансиране на Стратегията за ВОМР</w:t>
      </w:r>
      <w:r w:rsidRPr="00AA44E2">
        <w:rPr>
          <w:rFonts w:eastAsia="Times New Roman"/>
          <w:sz w:val="24"/>
          <w:szCs w:val="24"/>
          <w:lang w:val="ru-RU" w:eastAsia="pl-PL"/>
        </w:rPr>
        <w:t xml:space="preserve">. </w:t>
      </w:r>
      <w:r w:rsidRPr="00AA44E2">
        <w:rPr>
          <w:sz w:val="24"/>
          <w:szCs w:val="24"/>
        </w:rPr>
        <w:t>Изпълнителният директор /ИД/ на МИГ отговаря за прилагането на Стратегията за ВОМР при спазване на времевия график и действащата нормативна уредба..</w:t>
      </w:r>
    </w:p>
    <w:p w:rsidR="00AA44E2" w:rsidRPr="00AA44E2" w:rsidRDefault="00AA44E2" w:rsidP="00631570">
      <w:pPr>
        <w:widowControl/>
        <w:autoSpaceDE/>
        <w:autoSpaceDN/>
        <w:adjustRightInd/>
        <w:spacing w:line="276" w:lineRule="auto"/>
        <w:ind w:firstLine="567"/>
        <w:jc w:val="both"/>
        <w:rPr>
          <w:rFonts w:eastAsiaTheme="minorHAnsi"/>
          <w:sz w:val="24"/>
          <w:szCs w:val="24"/>
          <w:lang w:eastAsia="en-US"/>
        </w:rPr>
      </w:pPr>
      <w:r w:rsidRPr="00AA44E2">
        <w:rPr>
          <w:rFonts w:eastAsiaTheme="minorHAnsi"/>
          <w:b/>
          <w:sz w:val="24"/>
          <w:szCs w:val="24"/>
          <w:lang w:eastAsia="en-US"/>
        </w:rPr>
        <w:t xml:space="preserve">Координатор: </w:t>
      </w:r>
      <w:r w:rsidRPr="00AA44E2">
        <w:rPr>
          <w:rFonts w:eastAsiaTheme="minorHAnsi"/>
          <w:color w:val="1A171B"/>
          <w:sz w:val="24"/>
          <w:szCs w:val="24"/>
          <w:lang w:eastAsia="en-US"/>
        </w:rPr>
        <w:t>Подпомага изпълнителния директор в подготвянето и публикуването на покани за кандидатстване с проекти на територията на «МИГ–МКГ».</w:t>
      </w:r>
      <w:r w:rsidRPr="00AA44E2">
        <w:rPr>
          <w:rFonts w:eastAsiaTheme="minorHAnsi"/>
          <w:sz w:val="24"/>
          <w:szCs w:val="24"/>
          <w:lang w:eastAsia="en-US"/>
        </w:rPr>
        <w:t>оказва методическа помощ при прилагането на СВОМР и консултира потенциалните бенефициенти за условията и процедурите за кандидатстване.  Подготвя и организира задачите на МИГ по предоставянето на информация на потенциалните и одобрените получатели на подпомагане по СВОМР.</w:t>
      </w:r>
    </w:p>
    <w:p w:rsidR="00AA44E2" w:rsidRPr="00AA44E2" w:rsidRDefault="00AA44E2" w:rsidP="00631570">
      <w:pPr>
        <w:widowControl/>
        <w:autoSpaceDE/>
        <w:autoSpaceDN/>
        <w:adjustRightInd/>
        <w:spacing w:line="276" w:lineRule="auto"/>
        <w:ind w:firstLine="567"/>
        <w:jc w:val="both"/>
        <w:rPr>
          <w:rFonts w:eastAsiaTheme="minorHAnsi"/>
          <w:color w:val="1A171B"/>
          <w:sz w:val="24"/>
          <w:szCs w:val="24"/>
          <w:lang w:eastAsia="en-US"/>
        </w:rPr>
      </w:pPr>
      <w:r w:rsidRPr="00AA44E2">
        <w:rPr>
          <w:rFonts w:eastAsiaTheme="minorHAnsi"/>
          <w:b/>
          <w:bCs/>
          <w:sz w:val="24"/>
          <w:szCs w:val="24"/>
          <w:lang w:eastAsia="en-US"/>
        </w:rPr>
        <w:t xml:space="preserve">Технически сътрудник </w:t>
      </w:r>
      <w:r w:rsidRPr="00AA44E2">
        <w:rPr>
          <w:rFonts w:eastAsiaTheme="minorHAnsi"/>
          <w:color w:val="1A171B"/>
          <w:sz w:val="24"/>
          <w:szCs w:val="24"/>
          <w:lang w:eastAsia="en-US"/>
        </w:rPr>
        <w:t>Получава информация от изпълнителния директор и я свежда до знанието на останалите членове на екипа; организира приемането на посетителите, подготовката и провеждане на делови срещи, обучения, семинари и други събития.</w:t>
      </w:r>
    </w:p>
    <w:p w:rsidR="00AA44E2" w:rsidRDefault="00AA44E2" w:rsidP="00631570">
      <w:pPr>
        <w:widowControl/>
        <w:autoSpaceDE/>
        <w:autoSpaceDN/>
        <w:adjustRightInd/>
        <w:spacing w:line="276" w:lineRule="auto"/>
        <w:ind w:firstLine="567"/>
        <w:jc w:val="both"/>
        <w:rPr>
          <w:rFonts w:eastAsia="Times New Roman"/>
          <w:sz w:val="24"/>
          <w:szCs w:val="24"/>
          <w:shd w:val="clear" w:color="auto" w:fill="FEFEFE"/>
          <w:lang w:eastAsia="en-US"/>
        </w:rPr>
      </w:pPr>
      <w:r w:rsidRPr="00AA44E2">
        <w:rPr>
          <w:rFonts w:eastAsia="Times New Roman"/>
          <w:b/>
          <w:sz w:val="24"/>
          <w:szCs w:val="24"/>
          <w:shd w:val="clear" w:color="auto" w:fill="FEFEFE"/>
          <w:lang w:eastAsia="en-US"/>
        </w:rPr>
        <w:t xml:space="preserve">Счетоводителят </w:t>
      </w:r>
      <w:r w:rsidRPr="00AA44E2">
        <w:rPr>
          <w:rFonts w:eastAsia="Times New Roman"/>
          <w:sz w:val="24"/>
          <w:szCs w:val="24"/>
          <w:shd w:val="clear" w:color="auto" w:fill="FEFEFE"/>
          <w:lang w:eastAsia="en-US"/>
        </w:rPr>
        <w:t>отговаря за ефективното управление на финансовите средства и средствата за прилагане на СМР, в съответствие с българските счетоводни стандарти, изискванията за отчетност и управление на средства на организации, регистрирани в обществено полезна дейност и изискванията на РА и МЗХ.</w:t>
      </w:r>
    </w:p>
    <w:p w:rsidR="00AA44E2" w:rsidRPr="00AA44E2" w:rsidRDefault="00AA44E2" w:rsidP="00631570">
      <w:pPr>
        <w:widowControl/>
        <w:autoSpaceDE/>
        <w:autoSpaceDN/>
        <w:adjustRightInd/>
        <w:spacing w:line="276" w:lineRule="auto"/>
        <w:ind w:firstLine="567"/>
        <w:jc w:val="both"/>
        <w:rPr>
          <w:rFonts w:eastAsia="Times New Roman"/>
          <w:b/>
          <w:sz w:val="24"/>
          <w:szCs w:val="24"/>
        </w:rPr>
      </w:pPr>
      <w:r w:rsidRPr="00AA44E2">
        <w:rPr>
          <w:rFonts w:eastAsia="Times New Roman"/>
          <w:b/>
          <w:sz w:val="24"/>
          <w:szCs w:val="24"/>
          <w:shd w:val="clear" w:color="auto" w:fill="FEFEFE"/>
          <w:lang w:eastAsia="en-US"/>
        </w:rPr>
        <w:t xml:space="preserve">Потребности  за развитие на територията на МИГ“МКГ“ </w:t>
      </w:r>
    </w:p>
    <w:p w:rsidR="00AA44E2" w:rsidRPr="00AA44E2" w:rsidRDefault="00AA44E2" w:rsidP="00631570">
      <w:pPr>
        <w:widowControl/>
        <w:tabs>
          <w:tab w:val="left" w:pos="709"/>
        </w:tabs>
        <w:autoSpaceDE/>
        <w:autoSpaceDN/>
        <w:adjustRightInd/>
        <w:spacing w:line="276" w:lineRule="auto"/>
        <w:ind w:firstLine="567"/>
        <w:jc w:val="both"/>
        <w:rPr>
          <w:rFonts w:eastAsia="Times New Roman"/>
          <w:sz w:val="24"/>
          <w:szCs w:val="24"/>
          <w:lang w:eastAsia="pl-PL"/>
        </w:rPr>
      </w:pPr>
      <w:r w:rsidRPr="00AA44E2">
        <w:rPr>
          <w:rFonts w:eastAsia="Times New Roman"/>
          <w:sz w:val="24"/>
          <w:szCs w:val="24"/>
          <w:lang w:eastAsia="pl-PL"/>
        </w:rPr>
        <w:lastRenderedPageBreak/>
        <w:t xml:space="preserve">Основните потребности и проблеми на обхванатата територия се систематизират в следните групи. </w:t>
      </w:r>
    </w:p>
    <w:p w:rsidR="00AA44E2" w:rsidRPr="00AA44E2" w:rsidRDefault="00AA44E2" w:rsidP="00631570">
      <w:pPr>
        <w:widowControl/>
        <w:autoSpaceDE/>
        <w:autoSpaceDN/>
        <w:adjustRightInd/>
        <w:spacing w:line="276" w:lineRule="auto"/>
        <w:ind w:firstLine="567"/>
        <w:jc w:val="both"/>
        <w:rPr>
          <w:rFonts w:ascii="Calibri" w:eastAsia="Calibri" w:hAnsi="Calibri"/>
          <w:sz w:val="24"/>
          <w:szCs w:val="24"/>
          <w:lang w:eastAsia="en-US"/>
        </w:rPr>
      </w:pPr>
      <w:r w:rsidRPr="00AA44E2">
        <w:rPr>
          <w:rFonts w:eastAsia="Century Gothic"/>
          <w:b/>
          <w:sz w:val="24"/>
          <w:szCs w:val="24"/>
          <w:lang w:eastAsia="en-US"/>
        </w:rPr>
        <w:t>Подобряване на ситуацията на пазара на труда</w:t>
      </w:r>
      <w:r w:rsidRPr="00AA44E2">
        <w:rPr>
          <w:rFonts w:eastAsia="Century Gothic"/>
          <w:sz w:val="24"/>
          <w:szCs w:val="24"/>
          <w:lang w:eastAsia="en-US"/>
        </w:rPr>
        <w:t xml:space="preserve">: Динамиката на дълготрайно безработните лица е постоянна, което очертава проблем за възможностите за включване в трудова дейност и разкриване на  повечето работни места. В тази група са лица в активна възраст младежи до 29 г. и лица от 35 г.-50 г., които са предимно от ромския етнос. </w:t>
      </w:r>
      <w:r w:rsidRPr="00AA44E2">
        <w:rPr>
          <w:rFonts w:eastAsia="Times New Roman"/>
          <w:sz w:val="24"/>
          <w:szCs w:val="24"/>
        </w:rPr>
        <w:t>Активизиране на човешките ресурси за включване в трудова дейност, за повишаване на професионалната им адаптивност са сред основните въпроси на трудовия пазар</w:t>
      </w:r>
      <w:r w:rsidRPr="00AA44E2">
        <w:rPr>
          <w:rFonts w:eastAsia="Century Gothic"/>
          <w:sz w:val="24"/>
          <w:szCs w:val="24"/>
          <w:lang w:eastAsia="en-US"/>
        </w:rPr>
        <w:t xml:space="preserve">. </w:t>
      </w:r>
      <w:r w:rsidRPr="00AA44E2">
        <w:rPr>
          <w:rFonts w:eastAsia="Calibri"/>
          <w:sz w:val="24"/>
          <w:szCs w:val="24"/>
          <w:lang w:eastAsia="en-US"/>
        </w:rPr>
        <w:t xml:space="preserve">Повишаване на икономическата активност и заетостта на безработните  предполага конкретни мерки за обучение и придобиване на квалификация и умения. За Социалната изолация на лица от </w:t>
      </w:r>
      <w:proofErr w:type="spellStart"/>
      <w:r w:rsidRPr="00AA44E2">
        <w:rPr>
          <w:rFonts w:eastAsia="Calibri"/>
          <w:sz w:val="24"/>
          <w:szCs w:val="24"/>
          <w:lang w:eastAsia="en-US"/>
        </w:rPr>
        <w:t>маргинализираните</w:t>
      </w:r>
      <w:proofErr w:type="spellEnd"/>
      <w:r w:rsidRPr="00AA44E2">
        <w:rPr>
          <w:rFonts w:eastAsia="Calibri"/>
          <w:sz w:val="24"/>
          <w:szCs w:val="24"/>
          <w:lang w:eastAsia="en-US"/>
        </w:rPr>
        <w:t xml:space="preserve"> общности и уязвимите групи   е условия за намаляване на риска от бедност.</w:t>
      </w:r>
      <w:r w:rsidRPr="00AA44E2">
        <w:rPr>
          <w:rFonts w:ascii="Calibri" w:eastAsia="Calibri" w:hAnsi="Calibri"/>
          <w:sz w:val="24"/>
          <w:szCs w:val="24"/>
          <w:lang w:eastAsia="en-US"/>
        </w:rPr>
        <w:t xml:space="preserve"> </w:t>
      </w:r>
      <w:r w:rsidRPr="00AA44E2">
        <w:rPr>
          <w:rFonts w:eastAsia="Times New Roman"/>
          <w:sz w:val="24"/>
          <w:szCs w:val="24"/>
          <w:lang w:eastAsia="en-US"/>
        </w:rPr>
        <w:t xml:space="preserve">За уязвимите групи и за лицата от ромската общност е подходящо да се създадат условия за социално предприемачество и създаване на социални предприятия. Този тип на  икономическа активност е подходяща форма на умелото съчетаване и баланс на социални и икономически цели на целевата територия. </w:t>
      </w:r>
    </w:p>
    <w:p w:rsidR="00AA44E2" w:rsidRPr="00AA44E2" w:rsidRDefault="00AA44E2" w:rsidP="00631570">
      <w:pPr>
        <w:widowControl/>
        <w:autoSpaceDE/>
        <w:autoSpaceDN/>
        <w:adjustRightInd/>
        <w:spacing w:line="276" w:lineRule="auto"/>
        <w:ind w:firstLine="567"/>
        <w:jc w:val="both"/>
        <w:rPr>
          <w:rFonts w:eastAsia="Century Gothic"/>
          <w:sz w:val="24"/>
          <w:szCs w:val="24"/>
          <w:lang w:eastAsia="en-US"/>
        </w:rPr>
      </w:pPr>
      <w:r w:rsidRPr="00AA44E2">
        <w:rPr>
          <w:rFonts w:eastAsia="Century Gothic"/>
          <w:b/>
          <w:sz w:val="24"/>
          <w:szCs w:val="24"/>
          <w:lang w:eastAsia="en-US"/>
        </w:rPr>
        <w:t xml:space="preserve">Развитие на икономически сектори - </w:t>
      </w:r>
      <w:r w:rsidRPr="00AA44E2">
        <w:rPr>
          <w:rFonts w:eastAsia="Century Gothic"/>
          <w:sz w:val="24"/>
          <w:szCs w:val="24"/>
          <w:lang w:eastAsia="en-US"/>
        </w:rPr>
        <w:t xml:space="preserve">Ефикасността на предприятията в нефинансовия сектор на целевата територия  е чувствително по- ниска от ефикасността, отчетена на областно ниво. Положителна страна обаче е нарастването на дълготрайни материални активи и нетните приходи от продажба. Инвестициите в дълготрайни материали активи са предимно в средните и големи предприятия. </w:t>
      </w:r>
      <w:proofErr w:type="spellStart"/>
      <w:r w:rsidRPr="00AA44E2">
        <w:rPr>
          <w:rFonts w:eastAsia="Century Gothic"/>
          <w:sz w:val="24"/>
          <w:szCs w:val="24"/>
          <w:lang w:eastAsia="en-US"/>
        </w:rPr>
        <w:t>Микро</w:t>
      </w:r>
      <w:proofErr w:type="spellEnd"/>
      <w:r w:rsidRPr="00AA44E2">
        <w:rPr>
          <w:rFonts w:eastAsia="Century Gothic"/>
          <w:sz w:val="24"/>
          <w:szCs w:val="24"/>
          <w:lang w:eastAsia="en-US"/>
        </w:rPr>
        <w:t xml:space="preserve"> и малките предприятия нямат достатъчен капацитет да разширяват производството и да инвестират в иновативни продукти, което засили позициите им на местния и международния пазар. В тази връзка въвеждане на нови технологии, на иновации и иновативни бизнес процеси са  решения за подобряване на рентабилността на МСП. </w:t>
      </w:r>
    </w:p>
    <w:p w:rsidR="00AA44E2" w:rsidRPr="00AA44E2" w:rsidRDefault="00AA44E2" w:rsidP="00631570">
      <w:pPr>
        <w:widowControl/>
        <w:tabs>
          <w:tab w:val="left" w:pos="709"/>
        </w:tabs>
        <w:autoSpaceDE/>
        <w:autoSpaceDN/>
        <w:adjustRightInd/>
        <w:spacing w:line="276" w:lineRule="auto"/>
        <w:ind w:firstLine="567"/>
        <w:jc w:val="both"/>
        <w:rPr>
          <w:rFonts w:eastAsia="Times New Roman"/>
          <w:sz w:val="24"/>
          <w:szCs w:val="24"/>
          <w:lang w:eastAsia="pl-PL"/>
        </w:rPr>
      </w:pPr>
      <w:r w:rsidRPr="00AA44E2">
        <w:rPr>
          <w:rFonts w:eastAsia="Times New Roman"/>
          <w:b/>
          <w:sz w:val="24"/>
          <w:szCs w:val="24"/>
          <w:lang w:eastAsia="pl-PL"/>
        </w:rPr>
        <w:t>Социалните проблеми</w:t>
      </w:r>
      <w:r w:rsidRPr="00AA44E2">
        <w:rPr>
          <w:rFonts w:eastAsia="Times New Roman"/>
          <w:sz w:val="24"/>
          <w:szCs w:val="24"/>
          <w:lang w:eastAsia="pl-PL"/>
        </w:rPr>
        <w:t xml:space="preserve"> са свързани с застаряващото население, уязвимите групи и ромското малцинство. Съществува тенденция за обезлюдяване на малките населени места. Влошената възрастова структура на населението ще повиши необходимостта от по-адекватни и качествени социални услуги и здравеопазване на фона на масовото обедняване на населението. Увеличава се броят на хората в нужда и хората от рисковите групи и групите в неравностойно положение. Спада образователното ниво на  населението, не е малък дял на населението с основно и начално образование, което ще задълбочи влошаването на качеството на човешките ресурси. Трудно се задържат младите хора на територията поради липса на възможности и алтернативи за развитие, лошо качество на жизнената среда в сравнение с урбанизираните територии. </w:t>
      </w:r>
    </w:p>
    <w:p w:rsidR="00AA44E2" w:rsidRPr="00AA44E2" w:rsidRDefault="00AA44E2" w:rsidP="00631570">
      <w:pPr>
        <w:widowControl/>
        <w:tabs>
          <w:tab w:val="left" w:pos="709"/>
        </w:tabs>
        <w:autoSpaceDE/>
        <w:autoSpaceDN/>
        <w:adjustRightInd/>
        <w:spacing w:line="276" w:lineRule="auto"/>
        <w:ind w:firstLine="567"/>
        <w:jc w:val="both"/>
        <w:rPr>
          <w:rFonts w:eastAsia="Times New Roman"/>
          <w:sz w:val="24"/>
          <w:szCs w:val="24"/>
          <w:lang w:eastAsia="pl-PL"/>
        </w:rPr>
      </w:pPr>
      <w:r w:rsidRPr="00AA44E2">
        <w:rPr>
          <w:rFonts w:eastAsia="Times New Roman"/>
          <w:b/>
          <w:sz w:val="24"/>
          <w:szCs w:val="24"/>
          <w:lang w:eastAsia="pl-PL"/>
        </w:rPr>
        <w:t>Проблеми на техническата и инженерната инфраструктура</w:t>
      </w:r>
      <w:r w:rsidRPr="00AA44E2">
        <w:rPr>
          <w:rFonts w:eastAsia="Times New Roman"/>
          <w:sz w:val="24"/>
          <w:szCs w:val="24"/>
          <w:lang w:eastAsia="pl-PL"/>
        </w:rPr>
        <w:t xml:space="preserve">. В целевата  територията съществува изградена частично водопроводна мрежа, но проблем за повечето населени места е липсата на канализация и на пречиствателна станция за отпадни води. В населените места голяма част от уличната мрежа не е </w:t>
      </w:r>
      <w:proofErr w:type="spellStart"/>
      <w:r w:rsidRPr="00AA44E2">
        <w:rPr>
          <w:rFonts w:eastAsia="Times New Roman"/>
          <w:sz w:val="24"/>
          <w:szCs w:val="24"/>
          <w:lang w:eastAsia="pl-PL"/>
        </w:rPr>
        <w:t>рехабилитирана</w:t>
      </w:r>
      <w:proofErr w:type="spellEnd"/>
      <w:r w:rsidRPr="00AA44E2">
        <w:rPr>
          <w:rFonts w:eastAsia="Times New Roman"/>
          <w:sz w:val="24"/>
          <w:szCs w:val="24"/>
          <w:lang w:eastAsia="pl-PL"/>
        </w:rPr>
        <w:t xml:space="preserve">, също и публичните пространства за отдих са в недобро състояние. </w:t>
      </w:r>
    </w:p>
    <w:p w:rsidR="00AA44E2" w:rsidRPr="00AA44E2" w:rsidRDefault="00AA44E2" w:rsidP="00631570">
      <w:pPr>
        <w:widowControl/>
        <w:tabs>
          <w:tab w:val="left" w:pos="709"/>
        </w:tabs>
        <w:autoSpaceDE/>
        <w:autoSpaceDN/>
        <w:adjustRightInd/>
        <w:spacing w:line="276" w:lineRule="auto"/>
        <w:ind w:firstLine="567"/>
        <w:jc w:val="both"/>
        <w:rPr>
          <w:rFonts w:eastAsia="Times New Roman"/>
          <w:sz w:val="24"/>
          <w:szCs w:val="24"/>
          <w:lang w:eastAsia="pl-PL"/>
        </w:rPr>
      </w:pPr>
      <w:r w:rsidRPr="00AA44E2">
        <w:rPr>
          <w:rFonts w:eastAsia="Times New Roman"/>
          <w:sz w:val="24"/>
          <w:szCs w:val="24"/>
          <w:lang w:eastAsia="pl-PL"/>
        </w:rPr>
        <w:lastRenderedPageBreak/>
        <w:t>На територията съществува мрежа от читалища и са развити традициите в културната и читалищната дейност, инфраструктурата на читалищата е в лошо състояние.</w:t>
      </w:r>
    </w:p>
    <w:p w:rsidR="00AA44E2" w:rsidRPr="00AA44E2" w:rsidRDefault="00AA44E2" w:rsidP="00631570">
      <w:pPr>
        <w:widowControl/>
        <w:tabs>
          <w:tab w:val="left" w:pos="709"/>
        </w:tabs>
        <w:autoSpaceDE/>
        <w:autoSpaceDN/>
        <w:adjustRightInd/>
        <w:spacing w:line="276" w:lineRule="auto"/>
        <w:ind w:firstLine="567"/>
        <w:jc w:val="both"/>
        <w:rPr>
          <w:rFonts w:eastAsia="Times New Roman"/>
          <w:sz w:val="24"/>
          <w:szCs w:val="24"/>
          <w:lang w:eastAsia="pl-PL"/>
        </w:rPr>
      </w:pPr>
      <w:r w:rsidRPr="00AA44E2">
        <w:rPr>
          <w:rFonts w:eastAsia="Times New Roman"/>
          <w:sz w:val="24"/>
          <w:szCs w:val="24"/>
          <w:lang w:eastAsia="pl-PL"/>
        </w:rPr>
        <w:t xml:space="preserve">Като положителна страна е увеличението на </w:t>
      </w:r>
      <w:proofErr w:type="spellStart"/>
      <w:r w:rsidRPr="00AA44E2">
        <w:rPr>
          <w:rFonts w:eastAsia="Times New Roman"/>
          <w:sz w:val="24"/>
          <w:szCs w:val="24"/>
          <w:lang w:eastAsia="pl-PL"/>
        </w:rPr>
        <w:t>легловата</w:t>
      </w:r>
      <w:proofErr w:type="spellEnd"/>
      <w:r w:rsidRPr="00AA44E2">
        <w:rPr>
          <w:rFonts w:eastAsia="Times New Roman"/>
          <w:sz w:val="24"/>
          <w:szCs w:val="24"/>
          <w:lang w:eastAsia="pl-PL"/>
        </w:rPr>
        <w:t xml:space="preserve"> база в създадените къщи за гости в общините  Гурково и Мъглиж, но привличането на туристи е слабо. Не се използва наличието на минерална вода за развитие на </w:t>
      </w:r>
      <w:proofErr w:type="spellStart"/>
      <w:r w:rsidRPr="00AA44E2">
        <w:rPr>
          <w:rFonts w:eastAsia="Times New Roman"/>
          <w:sz w:val="24"/>
          <w:szCs w:val="24"/>
          <w:lang w:eastAsia="pl-PL"/>
        </w:rPr>
        <w:t>балнео</w:t>
      </w:r>
      <w:proofErr w:type="spellEnd"/>
      <w:r w:rsidRPr="00AA44E2">
        <w:rPr>
          <w:rFonts w:eastAsia="Times New Roman"/>
          <w:sz w:val="24"/>
          <w:szCs w:val="24"/>
          <w:lang w:eastAsia="pl-PL"/>
        </w:rPr>
        <w:t xml:space="preserve">, </w:t>
      </w:r>
      <w:proofErr w:type="spellStart"/>
      <w:r w:rsidRPr="00AA44E2">
        <w:rPr>
          <w:rFonts w:eastAsia="Times New Roman"/>
          <w:sz w:val="24"/>
          <w:szCs w:val="24"/>
          <w:lang w:eastAsia="pl-PL"/>
        </w:rPr>
        <w:t>еко</w:t>
      </w:r>
      <w:proofErr w:type="spellEnd"/>
      <w:r w:rsidRPr="00AA44E2">
        <w:rPr>
          <w:rFonts w:eastAsia="Times New Roman"/>
          <w:sz w:val="24"/>
          <w:szCs w:val="24"/>
          <w:lang w:eastAsia="pl-PL"/>
        </w:rPr>
        <w:t xml:space="preserve"> и селски туризъм.</w:t>
      </w:r>
    </w:p>
    <w:p w:rsidR="00AA44E2" w:rsidRPr="00AA44E2" w:rsidRDefault="00AA44E2" w:rsidP="00631570">
      <w:pPr>
        <w:widowControl/>
        <w:tabs>
          <w:tab w:val="left" w:pos="709"/>
        </w:tabs>
        <w:autoSpaceDE/>
        <w:autoSpaceDN/>
        <w:adjustRightInd/>
        <w:spacing w:line="276" w:lineRule="auto"/>
        <w:ind w:firstLine="567"/>
        <w:jc w:val="both"/>
        <w:rPr>
          <w:rFonts w:eastAsia="Times New Roman"/>
          <w:sz w:val="24"/>
          <w:szCs w:val="24"/>
          <w:lang w:eastAsia="pl-PL"/>
        </w:rPr>
      </w:pPr>
      <w:r w:rsidRPr="00AA44E2">
        <w:rPr>
          <w:rFonts w:eastAsia="Times New Roman"/>
          <w:sz w:val="24"/>
          <w:szCs w:val="24"/>
          <w:lang w:eastAsia="pl-PL"/>
        </w:rPr>
        <w:t xml:space="preserve">Заплаха за развитие на туризма е недостатъчно изградената транспортна инфраструктура до туристическите обекти. Не се прилагат съвременни средства за популяризиране на природните и културни забележителности.  </w:t>
      </w:r>
    </w:p>
    <w:p w:rsidR="00AA44E2" w:rsidRPr="00AA44E2" w:rsidRDefault="00AA44E2" w:rsidP="00631570">
      <w:pPr>
        <w:widowControl/>
        <w:autoSpaceDE/>
        <w:autoSpaceDN/>
        <w:adjustRightInd/>
        <w:spacing w:line="276" w:lineRule="auto"/>
        <w:ind w:firstLine="567"/>
        <w:jc w:val="both"/>
        <w:rPr>
          <w:rFonts w:eastAsia="Century Gothic"/>
          <w:sz w:val="24"/>
          <w:szCs w:val="24"/>
          <w:lang w:eastAsia="en-US"/>
        </w:rPr>
      </w:pPr>
      <w:r w:rsidRPr="00AA44E2">
        <w:rPr>
          <w:rFonts w:eastAsia="Century Gothic"/>
          <w:sz w:val="24"/>
          <w:szCs w:val="24"/>
          <w:lang w:eastAsia="en-US"/>
        </w:rPr>
        <w:t>В резултат на SWOT анализа се очертават някои по-съществени приоритети за развитие на територията на МИГ:</w:t>
      </w:r>
    </w:p>
    <w:p w:rsidR="00AA44E2" w:rsidRPr="00AA44E2" w:rsidRDefault="00AA44E2" w:rsidP="00631570">
      <w:pPr>
        <w:widowControl/>
        <w:numPr>
          <w:ilvl w:val="0"/>
          <w:numId w:val="2"/>
        </w:numPr>
        <w:autoSpaceDE/>
        <w:autoSpaceDN/>
        <w:adjustRightInd/>
        <w:spacing w:line="276" w:lineRule="auto"/>
        <w:ind w:left="0" w:firstLine="567"/>
        <w:contextualSpacing/>
        <w:jc w:val="both"/>
        <w:rPr>
          <w:rFonts w:eastAsia="Century Gothic"/>
          <w:sz w:val="24"/>
          <w:szCs w:val="24"/>
          <w:lang w:eastAsia="en-US"/>
        </w:rPr>
      </w:pPr>
      <w:r w:rsidRPr="00AA44E2">
        <w:rPr>
          <w:rFonts w:eastAsia="Century Gothic"/>
          <w:sz w:val="24"/>
          <w:szCs w:val="24"/>
          <w:lang w:eastAsia="en-US"/>
        </w:rPr>
        <w:t xml:space="preserve">Повишаване на капацитета за растеж, чрез активизиране на местната икономика и на възможностите за нови работни места; </w:t>
      </w:r>
    </w:p>
    <w:p w:rsidR="00AA44E2" w:rsidRPr="00AA44E2" w:rsidRDefault="00AA44E2" w:rsidP="00631570">
      <w:pPr>
        <w:widowControl/>
        <w:numPr>
          <w:ilvl w:val="0"/>
          <w:numId w:val="2"/>
        </w:numPr>
        <w:autoSpaceDE/>
        <w:autoSpaceDN/>
        <w:adjustRightInd/>
        <w:spacing w:line="276" w:lineRule="auto"/>
        <w:ind w:left="0" w:firstLine="567"/>
        <w:contextualSpacing/>
        <w:rPr>
          <w:rFonts w:eastAsia="Century Gothic"/>
          <w:sz w:val="24"/>
          <w:szCs w:val="24"/>
          <w:lang w:eastAsia="en-US"/>
        </w:rPr>
      </w:pPr>
      <w:r w:rsidRPr="00AA44E2">
        <w:rPr>
          <w:rFonts w:eastAsia="Century Gothic"/>
          <w:sz w:val="24"/>
          <w:szCs w:val="24"/>
          <w:lang w:eastAsia="en-US"/>
        </w:rPr>
        <w:t>Засилване на местната конкурентоспособност и експортния потенциал , чрез технологична модернизация на местните производства;</w:t>
      </w:r>
    </w:p>
    <w:p w:rsidR="00AA44E2" w:rsidRPr="00AA44E2" w:rsidRDefault="00AA44E2" w:rsidP="00631570">
      <w:pPr>
        <w:widowControl/>
        <w:numPr>
          <w:ilvl w:val="0"/>
          <w:numId w:val="2"/>
        </w:numPr>
        <w:autoSpaceDE/>
        <w:autoSpaceDN/>
        <w:adjustRightInd/>
        <w:spacing w:line="276" w:lineRule="auto"/>
        <w:ind w:left="0" w:firstLine="567"/>
        <w:contextualSpacing/>
        <w:jc w:val="both"/>
        <w:rPr>
          <w:rFonts w:eastAsia="Century Gothic"/>
          <w:sz w:val="24"/>
          <w:szCs w:val="24"/>
          <w:lang w:eastAsia="en-US"/>
        </w:rPr>
      </w:pPr>
      <w:r w:rsidRPr="00AA44E2">
        <w:rPr>
          <w:rFonts w:eastAsia="Calibri"/>
          <w:sz w:val="24"/>
          <w:szCs w:val="24"/>
          <w:lang w:eastAsia="en-US"/>
        </w:rPr>
        <w:t>Насърчаване на иновациите в преработващата промишленост, особено за фирмите занимаващи се розопроизводство, дестилация на етерично маслени култури и производство на крайни продукти от тях.</w:t>
      </w:r>
    </w:p>
    <w:p w:rsidR="00AA44E2" w:rsidRPr="00AA44E2" w:rsidRDefault="00AA44E2" w:rsidP="00631570">
      <w:pPr>
        <w:widowControl/>
        <w:numPr>
          <w:ilvl w:val="0"/>
          <w:numId w:val="2"/>
        </w:numPr>
        <w:autoSpaceDE/>
        <w:autoSpaceDN/>
        <w:adjustRightInd/>
        <w:spacing w:line="276" w:lineRule="auto"/>
        <w:ind w:left="0" w:firstLine="567"/>
        <w:contextualSpacing/>
        <w:jc w:val="both"/>
        <w:rPr>
          <w:rFonts w:eastAsia="Century Gothic"/>
          <w:sz w:val="24"/>
          <w:szCs w:val="24"/>
          <w:lang w:eastAsia="en-US"/>
        </w:rPr>
      </w:pPr>
      <w:r w:rsidRPr="00AA44E2">
        <w:rPr>
          <w:rFonts w:eastAsia="Times New Roman"/>
          <w:sz w:val="24"/>
          <w:szCs w:val="24"/>
        </w:rPr>
        <w:t>Подпомагане на инвестиции на земеделските стопанствата и насърчаване на биологичното производство;</w:t>
      </w:r>
    </w:p>
    <w:p w:rsidR="00AA44E2" w:rsidRPr="00AA44E2" w:rsidRDefault="00AA44E2" w:rsidP="00631570">
      <w:pPr>
        <w:widowControl/>
        <w:numPr>
          <w:ilvl w:val="0"/>
          <w:numId w:val="2"/>
        </w:numPr>
        <w:autoSpaceDE/>
        <w:autoSpaceDN/>
        <w:adjustRightInd/>
        <w:spacing w:line="276" w:lineRule="auto"/>
        <w:ind w:left="0" w:firstLine="567"/>
        <w:contextualSpacing/>
        <w:jc w:val="both"/>
        <w:rPr>
          <w:rFonts w:eastAsia="Century Gothic"/>
          <w:sz w:val="24"/>
          <w:szCs w:val="24"/>
          <w:lang w:eastAsia="en-US"/>
        </w:rPr>
      </w:pPr>
      <w:r w:rsidRPr="00AA44E2">
        <w:rPr>
          <w:rFonts w:eastAsia="Century Gothic"/>
          <w:sz w:val="24"/>
          <w:szCs w:val="24"/>
          <w:lang w:eastAsia="en-US"/>
        </w:rPr>
        <w:t>Развитие на преработка на селско стопански продукти на основата на технологично обновление и иновации.</w:t>
      </w:r>
    </w:p>
    <w:p w:rsidR="00AA44E2" w:rsidRPr="00AA44E2" w:rsidRDefault="00AA44E2" w:rsidP="00631570">
      <w:pPr>
        <w:widowControl/>
        <w:numPr>
          <w:ilvl w:val="0"/>
          <w:numId w:val="2"/>
        </w:numPr>
        <w:autoSpaceDE/>
        <w:autoSpaceDN/>
        <w:adjustRightInd/>
        <w:spacing w:line="276" w:lineRule="auto"/>
        <w:ind w:left="0" w:firstLine="567"/>
        <w:contextualSpacing/>
        <w:jc w:val="both"/>
        <w:rPr>
          <w:rFonts w:eastAsia="Century Gothic"/>
          <w:sz w:val="24"/>
          <w:szCs w:val="24"/>
          <w:lang w:eastAsia="en-US"/>
        </w:rPr>
      </w:pPr>
      <w:r w:rsidRPr="00AA44E2">
        <w:rPr>
          <w:rFonts w:eastAsia="Times New Roman"/>
          <w:sz w:val="24"/>
          <w:szCs w:val="24"/>
        </w:rPr>
        <w:t>Устойчиво управление и ефективно използване на природните ресурси в земеделието;</w:t>
      </w:r>
    </w:p>
    <w:p w:rsidR="00AA44E2" w:rsidRPr="00AA44E2" w:rsidRDefault="00AA44E2" w:rsidP="00631570">
      <w:pPr>
        <w:widowControl/>
        <w:numPr>
          <w:ilvl w:val="0"/>
          <w:numId w:val="2"/>
        </w:numPr>
        <w:autoSpaceDE/>
        <w:autoSpaceDN/>
        <w:adjustRightInd/>
        <w:spacing w:line="276" w:lineRule="auto"/>
        <w:ind w:left="0" w:firstLine="567"/>
        <w:contextualSpacing/>
        <w:jc w:val="both"/>
        <w:rPr>
          <w:rFonts w:eastAsia="Century Gothic"/>
          <w:sz w:val="24"/>
          <w:szCs w:val="24"/>
          <w:lang w:eastAsia="en-US"/>
        </w:rPr>
      </w:pPr>
      <w:r w:rsidRPr="00AA44E2">
        <w:rPr>
          <w:rFonts w:eastAsia="Times New Roman"/>
          <w:sz w:val="24"/>
          <w:szCs w:val="24"/>
        </w:rPr>
        <w:t xml:space="preserve">Да се популяризират възможностите за туризъм като се развива </w:t>
      </w:r>
      <w:r w:rsidRPr="00AA44E2">
        <w:rPr>
          <w:rFonts w:eastAsia="Calibri"/>
          <w:sz w:val="24"/>
          <w:szCs w:val="24"/>
          <w:lang w:eastAsia="en-US"/>
        </w:rPr>
        <w:t>креативна индустрия</w:t>
      </w:r>
      <w:r w:rsidRPr="00AA44E2">
        <w:rPr>
          <w:rFonts w:eastAsia="Times New Roman"/>
          <w:sz w:val="24"/>
          <w:szCs w:val="24"/>
        </w:rPr>
        <w:t xml:space="preserve"> и се приложат съвременни интерактивни съоръжения и средства за визуализация</w:t>
      </w:r>
    </w:p>
    <w:p w:rsidR="00AA44E2" w:rsidRPr="00AA44E2" w:rsidRDefault="00AA44E2" w:rsidP="00631570">
      <w:pPr>
        <w:widowControl/>
        <w:numPr>
          <w:ilvl w:val="0"/>
          <w:numId w:val="2"/>
        </w:numPr>
        <w:autoSpaceDE/>
        <w:autoSpaceDN/>
        <w:adjustRightInd/>
        <w:spacing w:line="276" w:lineRule="auto"/>
        <w:ind w:left="0" w:firstLine="567"/>
        <w:contextualSpacing/>
        <w:jc w:val="both"/>
        <w:rPr>
          <w:rFonts w:eastAsia="Century Gothic"/>
          <w:sz w:val="24"/>
          <w:szCs w:val="24"/>
          <w:lang w:eastAsia="en-US"/>
        </w:rPr>
      </w:pPr>
      <w:r w:rsidRPr="00AA44E2">
        <w:rPr>
          <w:rFonts w:eastAsia="Century Gothic"/>
          <w:sz w:val="24"/>
          <w:szCs w:val="24"/>
          <w:lang w:eastAsia="en-US"/>
        </w:rPr>
        <w:t xml:space="preserve">Подобряване на човешкия капитал чрез намаляване броя на отпадналите ученици, квалификация и обучение, както и насърчаването на предприемачеството и подкрепата за новосъздадените бизнес субекти; </w:t>
      </w:r>
    </w:p>
    <w:p w:rsidR="00AA44E2" w:rsidRPr="00AA44E2" w:rsidRDefault="00AA44E2" w:rsidP="00631570">
      <w:pPr>
        <w:widowControl/>
        <w:numPr>
          <w:ilvl w:val="0"/>
          <w:numId w:val="2"/>
        </w:numPr>
        <w:autoSpaceDE/>
        <w:autoSpaceDN/>
        <w:adjustRightInd/>
        <w:spacing w:line="276" w:lineRule="auto"/>
        <w:ind w:left="0" w:firstLine="567"/>
        <w:contextualSpacing/>
        <w:jc w:val="both"/>
        <w:rPr>
          <w:rFonts w:eastAsia="Century Gothic"/>
          <w:sz w:val="24"/>
          <w:szCs w:val="24"/>
          <w:lang w:eastAsia="en-US"/>
        </w:rPr>
      </w:pPr>
      <w:r w:rsidRPr="00AA44E2">
        <w:rPr>
          <w:rFonts w:eastAsia="Century Gothic"/>
          <w:sz w:val="24"/>
          <w:szCs w:val="24"/>
          <w:lang w:eastAsia="en-US"/>
        </w:rPr>
        <w:t>Подобряване и благоустрояване на жизнената среда;</w:t>
      </w:r>
    </w:p>
    <w:p w:rsidR="00AA44E2" w:rsidRPr="00AA44E2" w:rsidRDefault="00AA44E2" w:rsidP="00631570">
      <w:pPr>
        <w:widowControl/>
        <w:numPr>
          <w:ilvl w:val="0"/>
          <w:numId w:val="2"/>
        </w:numPr>
        <w:autoSpaceDE/>
        <w:autoSpaceDN/>
        <w:adjustRightInd/>
        <w:spacing w:line="276" w:lineRule="auto"/>
        <w:ind w:left="0" w:firstLine="567"/>
        <w:contextualSpacing/>
        <w:jc w:val="both"/>
        <w:rPr>
          <w:rFonts w:eastAsia="Century Gothic"/>
          <w:sz w:val="24"/>
          <w:szCs w:val="24"/>
          <w:lang w:eastAsia="en-US"/>
        </w:rPr>
      </w:pPr>
      <w:r w:rsidRPr="00AA44E2">
        <w:rPr>
          <w:rFonts w:eastAsia="Times New Roman"/>
          <w:sz w:val="24"/>
          <w:szCs w:val="24"/>
        </w:rPr>
        <w:t>Съхранение на ценните местообитания и видове в територии по Натура 2000.</w:t>
      </w:r>
    </w:p>
    <w:p w:rsidR="00AA44E2" w:rsidRDefault="00AA44E2" w:rsidP="00631570">
      <w:pPr>
        <w:pStyle w:val="doc-ti"/>
        <w:spacing w:before="0" w:beforeAutospacing="0" w:after="0" w:afterAutospacing="0" w:line="276" w:lineRule="auto"/>
        <w:ind w:firstLine="567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Цели и приоритети на Стратегията за ВОМР</w:t>
      </w:r>
    </w:p>
    <w:p w:rsidR="00CC7BEC" w:rsidRPr="00CC7BEC" w:rsidRDefault="00CC7BEC" w:rsidP="00631570">
      <w:pPr>
        <w:widowControl/>
        <w:autoSpaceDE/>
        <w:autoSpaceDN/>
        <w:adjustRightInd/>
        <w:spacing w:line="276" w:lineRule="auto"/>
        <w:ind w:firstLine="567"/>
        <w:jc w:val="both"/>
        <w:rPr>
          <w:rFonts w:eastAsiaTheme="minorHAnsi"/>
          <w:sz w:val="24"/>
          <w:szCs w:val="24"/>
          <w:lang w:eastAsia="en-US"/>
        </w:rPr>
      </w:pPr>
      <w:r w:rsidRPr="00CC7BEC">
        <w:rPr>
          <w:rFonts w:eastAsiaTheme="minorHAnsi"/>
          <w:sz w:val="24"/>
          <w:szCs w:val="24"/>
          <w:lang w:eastAsia="en-US"/>
        </w:rPr>
        <w:t xml:space="preserve">В резултат на разработения анализ на нуждите и потенциала за развитие на територията и на анализираните силни и слаби страни, възможности и заплахи са изведени приоритетите и стратегическите цели на Стратегията. Стратегията е </w:t>
      </w:r>
      <w:proofErr w:type="spellStart"/>
      <w:r w:rsidRPr="00CC7BEC">
        <w:rPr>
          <w:rFonts w:eastAsiaTheme="minorHAnsi"/>
          <w:sz w:val="24"/>
          <w:szCs w:val="24"/>
          <w:lang w:eastAsia="en-US"/>
        </w:rPr>
        <w:t>многофондова</w:t>
      </w:r>
      <w:proofErr w:type="spellEnd"/>
      <w:r w:rsidRPr="00CC7BEC">
        <w:rPr>
          <w:rFonts w:eastAsiaTheme="minorHAnsi"/>
          <w:sz w:val="24"/>
          <w:szCs w:val="24"/>
          <w:lang w:eastAsia="en-US"/>
        </w:rPr>
        <w:t xml:space="preserve">, предвидени са мерки от ПРСР,ОПИК и ОПРЧР. Целите и приоритетите на стратегията за ВОМР са съобразени с потенциала и спецификата на територията и показва насоките на интервенциите и дейностите, които ще се прилагат. В целите е заложено постигането на икономическо оживление, чрез разгръщане на местната </w:t>
      </w:r>
      <w:r w:rsidRPr="00CC7BEC">
        <w:rPr>
          <w:rFonts w:eastAsiaTheme="minorHAnsi"/>
          <w:sz w:val="24"/>
          <w:szCs w:val="24"/>
          <w:lang w:eastAsia="en-US"/>
        </w:rPr>
        <w:lastRenderedPageBreak/>
        <w:t>икономика и активизиране на собствените ресурси. Стратегията е структурирана в три основни цели, три приоритетни области на въздействие и 7 специфични цели.</w:t>
      </w:r>
    </w:p>
    <w:p w:rsidR="00CC7BEC" w:rsidRDefault="00CC7BEC" w:rsidP="00631570">
      <w:pPr>
        <w:widowControl/>
        <w:autoSpaceDE/>
        <w:autoSpaceDN/>
        <w:adjustRightInd/>
        <w:spacing w:line="276" w:lineRule="auto"/>
        <w:ind w:firstLine="567"/>
        <w:jc w:val="both"/>
        <w:rPr>
          <w:rFonts w:eastAsiaTheme="minorHAnsi"/>
          <w:sz w:val="24"/>
          <w:szCs w:val="24"/>
          <w:lang w:eastAsia="en-US"/>
        </w:rPr>
      </w:pPr>
      <w:r w:rsidRPr="00CC7BEC">
        <w:rPr>
          <w:rFonts w:eastAsiaTheme="minorHAnsi"/>
          <w:b/>
          <w:sz w:val="24"/>
          <w:szCs w:val="24"/>
          <w:lang w:eastAsia="en-US"/>
        </w:rPr>
        <w:t>Цел 1. Постигане на конкурентоспособна, устойчива местна икономика с подобрени възможности за развитие на бизнеса и усвоен икономически потенциал</w:t>
      </w:r>
      <w:r w:rsidRPr="00CC7BEC">
        <w:rPr>
          <w:rFonts w:eastAsiaTheme="minorHAnsi"/>
          <w:sz w:val="24"/>
          <w:szCs w:val="24"/>
          <w:lang w:eastAsia="en-US"/>
        </w:rPr>
        <w:t xml:space="preserve">. Тази стратегическа цел е насочена към развитие и използване на икономическия потенциал на територията, чрез създаване на заетост, развитие на конкурентноспособно земеделие и подкрепа за модернизиране на МСП предприятия. Тази цел адресира и потребностите на територията от разнообразяване на икономическите дейности чрез подобряване на капацитета на </w:t>
      </w:r>
      <w:proofErr w:type="spellStart"/>
      <w:r w:rsidRPr="00CC7BEC">
        <w:rPr>
          <w:rFonts w:eastAsiaTheme="minorHAnsi"/>
          <w:sz w:val="24"/>
          <w:szCs w:val="24"/>
          <w:lang w:eastAsia="en-US"/>
        </w:rPr>
        <w:t>микро</w:t>
      </w:r>
      <w:proofErr w:type="spellEnd"/>
      <w:r w:rsidRPr="00CC7BEC">
        <w:rPr>
          <w:rFonts w:eastAsiaTheme="minorHAnsi"/>
          <w:sz w:val="24"/>
          <w:szCs w:val="24"/>
          <w:lang w:eastAsia="en-US"/>
        </w:rPr>
        <w:t xml:space="preserve"> предприятията, както и създаване на нови. </w:t>
      </w:r>
    </w:p>
    <w:p w:rsidR="00CC7BEC" w:rsidRPr="00CC7BEC" w:rsidRDefault="00CC7BEC" w:rsidP="00631570">
      <w:pPr>
        <w:widowControl/>
        <w:autoSpaceDE/>
        <w:autoSpaceDN/>
        <w:adjustRightInd/>
        <w:spacing w:line="276" w:lineRule="auto"/>
        <w:ind w:firstLine="567"/>
        <w:jc w:val="both"/>
        <w:rPr>
          <w:rFonts w:eastAsiaTheme="minorHAnsi"/>
          <w:b/>
          <w:sz w:val="24"/>
          <w:szCs w:val="24"/>
          <w:lang w:eastAsia="en-US"/>
        </w:rPr>
      </w:pPr>
      <w:r w:rsidRPr="00CC7BEC">
        <w:rPr>
          <w:rFonts w:eastAsiaTheme="minorHAnsi"/>
          <w:b/>
          <w:sz w:val="24"/>
          <w:szCs w:val="24"/>
          <w:lang w:eastAsia="en-US"/>
        </w:rPr>
        <w:t xml:space="preserve">Приоритет 1.1. </w:t>
      </w:r>
      <w:r w:rsidRPr="00CC7BEC">
        <w:rPr>
          <w:rFonts w:eastAsiaTheme="minorHAnsi"/>
          <w:sz w:val="24"/>
          <w:szCs w:val="24"/>
          <w:lang w:eastAsia="en-US"/>
        </w:rPr>
        <w:t xml:space="preserve">Повишаване на конкурентоспособността, производителността на МСП и земеделските стопанства, чрез технологично обновяване и  насърчаване на иновационни дейност и развитие на традиционни и </w:t>
      </w:r>
      <w:proofErr w:type="spellStart"/>
      <w:r w:rsidRPr="00CC7BEC">
        <w:rPr>
          <w:rFonts w:eastAsiaTheme="minorHAnsi"/>
          <w:sz w:val="24"/>
          <w:szCs w:val="24"/>
          <w:lang w:eastAsia="en-US"/>
        </w:rPr>
        <w:t>екологосъобразни</w:t>
      </w:r>
      <w:proofErr w:type="spellEnd"/>
      <w:r w:rsidRPr="00CC7BEC">
        <w:rPr>
          <w:rFonts w:eastAsiaTheme="minorHAnsi"/>
          <w:sz w:val="24"/>
          <w:szCs w:val="24"/>
          <w:lang w:eastAsia="en-US"/>
        </w:rPr>
        <w:t xml:space="preserve"> земеделски производства.</w:t>
      </w:r>
    </w:p>
    <w:p w:rsidR="00CC7BEC" w:rsidRPr="00CC7BEC" w:rsidRDefault="00CC7BEC" w:rsidP="00631570">
      <w:pPr>
        <w:spacing w:line="276" w:lineRule="auto"/>
        <w:ind w:firstLine="567"/>
        <w:jc w:val="both"/>
        <w:rPr>
          <w:rFonts w:eastAsiaTheme="minorHAnsi"/>
          <w:sz w:val="24"/>
          <w:szCs w:val="24"/>
          <w:lang w:eastAsia="en-US"/>
        </w:rPr>
      </w:pPr>
      <w:r w:rsidRPr="00CC7BEC">
        <w:rPr>
          <w:rFonts w:eastAsiaTheme="minorHAnsi"/>
          <w:b/>
          <w:sz w:val="24"/>
          <w:szCs w:val="24"/>
          <w:lang w:eastAsia="en-US"/>
        </w:rPr>
        <w:t xml:space="preserve">Специфична цел 1.1.1. </w:t>
      </w:r>
      <w:r w:rsidRPr="00CC7BEC">
        <w:rPr>
          <w:rFonts w:eastAsiaTheme="minorHAnsi"/>
          <w:sz w:val="24"/>
          <w:szCs w:val="24"/>
          <w:lang w:eastAsia="en-US"/>
        </w:rPr>
        <w:t xml:space="preserve">Насърчаване на инвестициите за подобряване на производствения капацитет за растеж чрез ефективното и ефикасно използване на факторите на производството. </w:t>
      </w:r>
    </w:p>
    <w:p w:rsidR="00CC7BEC" w:rsidRPr="00CC7BEC" w:rsidRDefault="00CC7BEC" w:rsidP="00631570">
      <w:pPr>
        <w:widowControl/>
        <w:autoSpaceDE/>
        <w:autoSpaceDN/>
        <w:adjustRightInd/>
        <w:spacing w:line="276" w:lineRule="auto"/>
        <w:ind w:firstLine="567"/>
        <w:jc w:val="both"/>
        <w:rPr>
          <w:rFonts w:eastAsiaTheme="minorHAnsi"/>
          <w:b/>
          <w:sz w:val="24"/>
          <w:szCs w:val="24"/>
          <w:lang w:eastAsia="en-US"/>
        </w:rPr>
      </w:pPr>
      <w:r w:rsidRPr="00CC7BEC">
        <w:rPr>
          <w:rFonts w:eastAsiaTheme="minorHAnsi"/>
          <w:sz w:val="24"/>
          <w:szCs w:val="24"/>
          <w:lang w:eastAsia="en-US"/>
        </w:rPr>
        <w:t xml:space="preserve"> </w:t>
      </w:r>
      <w:r w:rsidRPr="00CC7BEC">
        <w:rPr>
          <w:rFonts w:eastAsiaTheme="minorHAnsi"/>
          <w:b/>
          <w:sz w:val="24"/>
          <w:szCs w:val="24"/>
          <w:lang w:eastAsia="en-US"/>
        </w:rPr>
        <w:t xml:space="preserve">Мерките по тази специфична цел за по Оперативна програма „Иновации и конкурентоспособност“ </w:t>
      </w:r>
    </w:p>
    <w:p w:rsidR="00CC7BEC" w:rsidRDefault="00CC7BEC" w:rsidP="00631570">
      <w:pPr>
        <w:spacing w:line="276" w:lineRule="auto"/>
        <w:ind w:firstLine="567"/>
        <w:rPr>
          <w:rFonts w:eastAsiaTheme="minorHAnsi"/>
          <w:b/>
          <w:bCs/>
          <w:sz w:val="24"/>
          <w:szCs w:val="24"/>
          <w:lang w:eastAsia="en-US"/>
        </w:rPr>
      </w:pPr>
      <w:r w:rsidRPr="00CC7BEC">
        <w:rPr>
          <w:rFonts w:eastAsiaTheme="minorHAnsi"/>
          <w:b/>
          <w:bCs/>
          <w:sz w:val="24"/>
          <w:szCs w:val="24"/>
          <w:lang w:eastAsia="en-US"/>
        </w:rPr>
        <w:t xml:space="preserve">Приоритетна ос 1 „Технологично развитие и иновации“ </w:t>
      </w:r>
    </w:p>
    <w:p w:rsidR="00CC7BEC" w:rsidRPr="00CC7BEC" w:rsidRDefault="00CC7BEC" w:rsidP="00631570">
      <w:pPr>
        <w:spacing w:line="276" w:lineRule="auto"/>
        <w:ind w:firstLine="567"/>
        <w:rPr>
          <w:bCs/>
          <w:sz w:val="24"/>
          <w:szCs w:val="24"/>
        </w:rPr>
      </w:pPr>
      <w:r w:rsidRPr="00CC7BEC">
        <w:rPr>
          <w:rFonts w:eastAsiaTheme="minorHAnsi"/>
          <w:b/>
          <w:bCs/>
          <w:sz w:val="24"/>
          <w:szCs w:val="24"/>
          <w:lang w:eastAsia="en-US"/>
        </w:rPr>
        <w:t>Инвестиционен приоритет „Технологично развитие и иновации“ Специфична цел: „</w:t>
      </w:r>
      <w:r w:rsidRPr="00CC7BEC">
        <w:rPr>
          <w:rFonts w:eastAsiaTheme="minorHAnsi"/>
          <w:b/>
          <w:bCs/>
          <w:i/>
          <w:iCs/>
          <w:sz w:val="24"/>
          <w:szCs w:val="24"/>
          <w:lang w:eastAsia="en-US"/>
        </w:rPr>
        <w:t>Повишаване на иновационната дейност на предприятията“</w:t>
      </w:r>
      <w:r w:rsidRPr="00CC7BEC">
        <w:rPr>
          <w:bCs/>
          <w:sz w:val="24"/>
          <w:szCs w:val="24"/>
        </w:rPr>
        <w:t xml:space="preserve"> </w:t>
      </w:r>
    </w:p>
    <w:p w:rsidR="00CC7BEC" w:rsidRPr="00CC7BEC" w:rsidRDefault="00CC7BEC" w:rsidP="00631570">
      <w:pPr>
        <w:widowControl/>
        <w:spacing w:line="276" w:lineRule="auto"/>
        <w:ind w:firstLine="567"/>
        <w:rPr>
          <w:sz w:val="24"/>
          <w:szCs w:val="24"/>
        </w:rPr>
      </w:pPr>
      <w:proofErr w:type="spellStart"/>
      <w:r w:rsidRPr="00CC7BEC">
        <w:rPr>
          <w:b/>
          <w:sz w:val="24"/>
          <w:szCs w:val="24"/>
        </w:rPr>
        <w:t>Mярка</w:t>
      </w:r>
      <w:proofErr w:type="spellEnd"/>
      <w:r w:rsidRPr="00CC7BEC">
        <w:rPr>
          <w:b/>
          <w:sz w:val="24"/>
          <w:szCs w:val="24"/>
        </w:rPr>
        <w:t xml:space="preserve">  9 „ Подкрепа за разработване и внедряване на  иновации</w:t>
      </w:r>
      <w:r w:rsidRPr="00CC7BEC">
        <w:rPr>
          <w:sz w:val="24"/>
          <w:szCs w:val="24"/>
        </w:rPr>
        <w:t>“</w:t>
      </w:r>
    </w:p>
    <w:p w:rsidR="00CC7BEC" w:rsidRPr="00CC7BEC" w:rsidRDefault="00CC7BEC" w:rsidP="00631570">
      <w:pPr>
        <w:widowControl/>
        <w:spacing w:line="276" w:lineRule="auto"/>
        <w:ind w:firstLine="567"/>
        <w:rPr>
          <w:sz w:val="24"/>
          <w:szCs w:val="24"/>
        </w:rPr>
      </w:pPr>
      <w:r w:rsidRPr="00CC7BEC">
        <w:rPr>
          <w:b/>
          <w:sz w:val="24"/>
          <w:szCs w:val="24"/>
        </w:rPr>
        <w:t xml:space="preserve">Цели: </w:t>
      </w:r>
      <w:r w:rsidRPr="00CC7BEC">
        <w:rPr>
          <w:sz w:val="24"/>
          <w:szCs w:val="24"/>
        </w:rPr>
        <w:t xml:space="preserve">Насърчаване на предприемаческата инициатива за предлагане на нови продукти, услуги и заетост, чрез за разнообразяване към неземеделските дейности МСП. Подпомагането на МСП от територията да развият икономически иновативни дейности и  ще създадат нови работни места  </w:t>
      </w:r>
    </w:p>
    <w:p w:rsidR="00CC7BEC" w:rsidRPr="00CC7BEC" w:rsidRDefault="00CC7BEC" w:rsidP="00631570">
      <w:pPr>
        <w:widowControl/>
        <w:spacing w:line="276" w:lineRule="auto"/>
        <w:ind w:firstLine="567"/>
        <w:rPr>
          <w:sz w:val="24"/>
          <w:szCs w:val="24"/>
        </w:rPr>
      </w:pPr>
      <w:proofErr w:type="spellStart"/>
      <w:r w:rsidRPr="00CC7BEC">
        <w:rPr>
          <w:b/>
          <w:sz w:val="24"/>
          <w:szCs w:val="24"/>
        </w:rPr>
        <w:t>Подмярка</w:t>
      </w:r>
      <w:proofErr w:type="spellEnd"/>
      <w:r w:rsidRPr="00CC7BEC">
        <w:rPr>
          <w:b/>
          <w:sz w:val="24"/>
          <w:szCs w:val="24"/>
        </w:rPr>
        <w:t xml:space="preserve"> 9.1.„</w:t>
      </w:r>
      <w:r w:rsidRPr="00CC7BEC">
        <w:rPr>
          <w:sz w:val="24"/>
          <w:szCs w:val="24"/>
        </w:rPr>
        <w:t>Инвестиции в подкрепа  на МСП  за иновации “;</w:t>
      </w:r>
    </w:p>
    <w:p w:rsidR="00174796" w:rsidRDefault="00174796" w:rsidP="00631570">
      <w:pPr>
        <w:widowControl/>
        <w:spacing w:line="276" w:lineRule="auto"/>
        <w:ind w:firstLine="567"/>
        <w:rPr>
          <w:rFonts w:eastAsiaTheme="minorHAnsi"/>
          <w:b/>
          <w:bCs/>
          <w:sz w:val="23"/>
          <w:szCs w:val="23"/>
          <w:lang w:eastAsia="en-US"/>
        </w:rPr>
      </w:pPr>
      <w:proofErr w:type="spellStart"/>
      <w:r w:rsidRPr="00174796">
        <w:rPr>
          <w:rFonts w:eastAsiaTheme="minorHAnsi"/>
          <w:b/>
          <w:bCs/>
          <w:sz w:val="23"/>
          <w:szCs w:val="23"/>
          <w:lang w:eastAsia="en-US"/>
        </w:rPr>
        <w:t>Подмярка</w:t>
      </w:r>
      <w:proofErr w:type="spellEnd"/>
      <w:r w:rsidRPr="00174796">
        <w:rPr>
          <w:rFonts w:eastAsiaTheme="minorHAnsi"/>
          <w:b/>
          <w:bCs/>
          <w:sz w:val="23"/>
          <w:szCs w:val="23"/>
          <w:lang w:eastAsia="en-US"/>
        </w:rPr>
        <w:t xml:space="preserve"> 9.2 Развитие на предприемачество и капацитет за растеж на МСП</w:t>
      </w:r>
    </w:p>
    <w:p w:rsidR="00174796" w:rsidRDefault="00174796" w:rsidP="00631570">
      <w:pPr>
        <w:widowControl/>
        <w:spacing w:line="276" w:lineRule="auto"/>
        <w:ind w:firstLine="567"/>
        <w:rPr>
          <w:rFonts w:eastAsiaTheme="minorHAnsi"/>
          <w:b/>
          <w:bCs/>
          <w:sz w:val="23"/>
          <w:szCs w:val="23"/>
          <w:lang w:eastAsia="en-US"/>
        </w:rPr>
      </w:pPr>
    </w:p>
    <w:p w:rsidR="00174796" w:rsidRDefault="00174796" w:rsidP="00631570">
      <w:pPr>
        <w:widowControl/>
        <w:autoSpaceDE/>
        <w:autoSpaceDN/>
        <w:adjustRightInd/>
        <w:spacing w:line="276" w:lineRule="auto"/>
        <w:ind w:firstLine="567"/>
        <w:jc w:val="both"/>
        <w:rPr>
          <w:rFonts w:eastAsiaTheme="minorHAnsi"/>
          <w:b/>
          <w:sz w:val="24"/>
          <w:szCs w:val="24"/>
          <w:lang w:eastAsia="en-US"/>
        </w:rPr>
      </w:pPr>
      <w:r w:rsidRPr="00174796">
        <w:rPr>
          <w:rFonts w:eastAsiaTheme="minorHAnsi"/>
          <w:b/>
          <w:sz w:val="24"/>
          <w:szCs w:val="24"/>
          <w:lang w:eastAsia="en-US"/>
        </w:rPr>
        <w:t xml:space="preserve">Специфична цел 1.1.2. Подпомагане на модернизацията и технологичното обновление на стопанствата и преработвателните предприятия, на инвестициите в иновации и биологични земеделски продукти. </w:t>
      </w:r>
    </w:p>
    <w:p w:rsidR="00174796" w:rsidRDefault="00174796" w:rsidP="00631570">
      <w:pPr>
        <w:widowControl/>
        <w:autoSpaceDE/>
        <w:autoSpaceDN/>
        <w:adjustRightInd/>
        <w:spacing w:line="276" w:lineRule="auto"/>
        <w:ind w:firstLine="567"/>
        <w:jc w:val="both"/>
        <w:rPr>
          <w:rFonts w:eastAsiaTheme="minorHAnsi"/>
          <w:sz w:val="24"/>
          <w:szCs w:val="24"/>
          <w:lang w:eastAsia="en-US"/>
        </w:rPr>
      </w:pPr>
      <w:r w:rsidRPr="00174796">
        <w:rPr>
          <w:rFonts w:eastAsiaTheme="minorHAnsi"/>
          <w:sz w:val="24"/>
          <w:szCs w:val="24"/>
          <w:lang w:eastAsia="en-US"/>
        </w:rPr>
        <w:t>Ще се финансират инвестиции по ПРСР в модернизация и развитието на производствения капаците на земеделски стопанства и технологично обновяване на преработвателни предприятия на селскостопански продукти.</w:t>
      </w:r>
      <w:r>
        <w:rPr>
          <w:rFonts w:eastAsiaTheme="minorHAnsi"/>
          <w:sz w:val="24"/>
          <w:szCs w:val="24"/>
          <w:lang w:eastAsia="en-US"/>
        </w:rPr>
        <w:t xml:space="preserve"> </w:t>
      </w:r>
    </w:p>
    <w:p w:rsidR="00174796" w:rsidRPr="00174796" w:rsidRDefault="00174796" w:rsidP="00631570">
      <w:pPr>
        <w:widowControl/>
        <w:autoSpaceDE/>
        <w:autoSpaceDN/>
        <w:adjustRightInd/>
        <w:spacing w:line="276" w:lineRule="auto"/>
        <w:ind w:firstLine="567"/>
        <w:jc w:val="both"/>
        <w:rPr>
          <w:rFonts w:eastAsiaTheme="minorHAnsi"/>
          <w:i/>
          <w:sz w:val="24"/>
          <w:szCs w:val="24"/>
          <w:lang w:eastAsia="en-US"/>
        </w:rPr>
      </w:pPr>
      <w:r w:rsidRPr="00174796">
        <w:rPr>
          <w:rFonts w:eastAsiaTheme="minorHAnsi"/>
          <w:i/>
          <w:sz w:val="24"/>
          <w:szCs w:val="24"/>
          <w:lang w:eastAsia="en-US"/>
        </w:rPr>
        <w:t xml:space="preserve">Тази цел се финансира от ПРСР 2014-2020  </w:t>
      </w:r>
    </w:p>
    <w:p w:rsidR="00174796" w:rsidRPr="00174796" w:rsidRDefault="00174796" w:rsidP="00631570">
      <w:pPr>
        <w:widowControl/>
        <w:spacing w:line="276" w:lineRule="auto"/>
        <w:ind w:firstLine="567"/>
        <w:rPr>
          <w:rFonts w:eastAsiaTheme="minorHAnsi"/>
          <w:sz w:val="24"/>
          <w:szCs w:val="24"/>
          <w:lang w:eastAsia="en-US"/>
        </w:rPr>
      </w:pPr>
      <w:r w:rsidRPr="00174796">
        <w:rPr>
          <w:rFonts w:eastAsiaTheme="minorHAnsi"/>
          <w:b/>
          <w:bCs/>
          <w:i/>
          <w:iCs/>
          <w:sz w:val="24"/>
          <w:szCs w:val="24"/>
          <w:lang w:eastAsia="en-US"/>
        </w:rPr>
        <w:t xml:space="preserve">Мерки 4. </w:t>
      </w:r>
      <w:r w:rsidRPr="00174796">
        <w:rPr>
          <w:rFonts w:eastAsiaTheme="minorHAnsi"/>
          <w:sz w:val="24"/>
          <w:szCs w:val="24"/>
          <w:lang w:eastAsia="en-US"/>
        </w:rPr>
        <w:t xml:space="preserve">Инвестиции в </w:t>
      </w:r>
      <w:proofErr w:type="spellStart"/>
      <w:r w:rsidRPr="00174796">
        <w:rPr>
          <w:rFonts w:eastAsiaTheme="minorHAnsi"/>
          <w:sz w:val="24"/>
          <w:szCs w:val="24"/>
          <w:lang w:eastAsia="en-US"/>
        </w:rPr>
        <w:t>матери</w:t>
      </w:r>
      <w:proofErr w:type="spellEnd"/>
      <w:r w:rsidRPr="00174796">
        <w:rPr>
          <w:rFonts w:eastAsiaTheme="minorHAnsi"/>
          <w:sz w:val="24"/>
          <w:szCs w:val="24"/>
          <w:lang w:eastAsia="en-US"/>
        </w:rPr>
        <w:t xml:space="preserve"> </w:t>
      </w:r>
      <w:proofErr w:type="spellStart"/>
      <w:r w:rsidRPr="00174796">
        <w:rPr>
          <w:rFonts w:eastAsiaTheme="minorHAnsi"/>
          <w:sz w:val="24"/>
          <w:szCs w:val="24"/>
          <w:lang w:eastAsia="en-US"/>
        </w:rPr>
        <w:t>ални</w:t>
      </w:r>
      <w:proofErr w:type="spellEnd"/>
      <w:r w:rsidRPr="00174796">
        <w:rPr>
          <w:rFonts w:eastAsiaTheme="minorHAnsi"/>
          <w:sz w:val="24"/>
          <w:szCs w:val="24"/>
          <w:lang w:eastAsia="en-US"/>
        </w:rPr>
        <w:t xml:space="preserve"> активи</w:t>
      </w:r>
    </w:p>
    <w:p w:rsidR="00174796" w:rsidRPr="00174796" w:rsidRDefault="00174796" w:rsidP="00631570">
      <w:pPr>
        <w:widowControl/>
        <w:spacing w:line="276" w:lineRule="auto"/>
        <w:ind w:firstLine="567"/>
        <w:rPr>
          <w:rFonts w:eastAsiaTheme="minorHAnsi"/>
          <w:sz w:val="24"/>
          <w:szCs w:val="24"/>
          <w:lang w:eastAsia="en-US"/>
        </w:rPr>
      </w:pPr>
      <w:proofErr w:type="spellStart"/>
      <w:r w:rsidRPr="00174796">
        <w:rPr>
          <w:rFonts w:eastAsiaTheme="minorHAnsi"/>
          <w:b/>
          <w:bCs/>
          <w:i/>
          <w:iCs/>
          <w:sz w:val="24"/>
          <w:szCs w:val="24"/>
          <w:lang w:eastAsia="en-US"/>
        </w:rPr>
        <w:t>Подмярка</w:t>
      </w:r>
      <w:proofErr w:type="spellEnd"/>
      <w:r w:rsidRPr="00174796">
        <w:rPr>
          <w:rFonts w:eastAsiaTheme="minorHAnsi"/>
          <w:b/>
          <w:bCs/>
          <w:i/>
          <w:iCs/>
          <w:sz w:val="24"/>
          <w:szCs w:val="24"/>
          <w:lang w:eastAsia="en-US"/>
        </w:rPr>
        <w:t xml:space="preserve"> 4.1. </w:t>
      </w:r>
      <w:r w:rsidRPr="00174796">
        <w:rPr>
          <w:rFonts w:eastAsiaTheme="minorHAnsi"/>
          <w:sz w:val="24"/>
          <w:szCs w:val="24"/>
          <w:lang w:eastAsia="en-US"/>
        </w:rPr>
        <w:t>„Инвестиции в земеделски стопанства</w:t>
      </w:r>
    </w:p>
    <w:p w:rsidR="00174796" w:rsidRPr="00174796" w:rsidRDefault="00174796" w:rsidP="00631570">
      <w:pPr>
        <w:widowControl/>
        <w:spacing w:line="276" w:lineRule="auto"/>
        <w:ind w:firstLine="567"/>
        <w:rPr>
          <w:rFonts w:eastAsiaTheme="minorHAnsi"/>
          <w:b/>
          <w:sz w:val="24"/>
          <w:szCs w:val="24"/>
          <w:lang w:eastAsia="en-US"/>
        </w:rPr>
      </w:pPr>
      <w:proofErr w:type="spellStart"/>
      <w:r w:rsidRPr="00174796">
        <w:rPr>
          <w:rFonts w:eastAsiaTheme="minorHAnsi"/>
          <w:b/>
          <w:bCs/>
          <w:i/>
          <w:iCs/>
          <w:sz w:val="24"/>
          <w:szCs w:val="24"/>
          <w:lang w:eastAsia="en-US"/>
        </w:rPr>
        <w:t>Подмярка</w:t>
      </w:r>
      <w:proofErr w:type="spellEnd"/>
      <w:r w:rsidRPr="00174796">
        <w:rPr>
          <w:rFonts w:eastAsiaTheme="minorHAnsi"/>
          <w:b/>
          <w:bCs/>
          <w:i/>
          <w:iCs/>
          <w:sz w:val="24"/>
          <w:szCs w:val="24"/>
          <w:lang w:eastAsia="en-US"/>
        </w:rPr>
        <w:t xml:space="preserve"> 4.2. </w:t>
      </w:r>
      <w:r w:rsidRPr="00174796">
        <w:rPr>
          <w:rFonts w:eastAsiaTheme="minorHAnsi"/>
          <w:sz w:val="24"/>
          <w:szCs w:val="24"/>
          <w:lang w:eastAsia="en-US"/>
        </w:rPr>
        <w:t>„Инвестиции в преработка/маркетинг на селско- стопански продукти</w:t>
      </w:r>
    </w:p>
    <w:p w:rsidR="00174796" w:rsidRDefault="00174796" w:rsidP="00631570">
      <w:pPr>
        <w:widowControl/>
        <w:spacing w:line="276" w:lineRule="auto"/>
        <w:ind w:firstLine="567"/>
        <w:rPr>
          <w:rFonts w:eastAsiaTheme="minorHAnsi"/>
          <w:b/>
          <w:bCs/>
          <w:sz w:val="23"/>
          <w:szCs w:val="23"/>
          <w:lang w:eastAsia="en-US"/>
        </w:rPr>
      </w:pPr>
    </w:p>
    <w:p w:rsidR="00174796" w:rsidRDefault="00174796" w:rsidP="00631570">
      <w:pPr>
        <w:widowControl/>
        <w:autoSpaceDE/>
        <w:autoSpaceDN/>
        <w:adjustRightInd/>
        <w:spacing w:line="276" w:lineRule="auto"/>
        <w:ind w:firstLine="567"/>
        <w:jc w:val="both"/>
        <w:rPr>
          <w:rFonts w:eastAsiaTheme="minorHAnsi"/>
          <w:sz w:val="24"/>
          <w:szCs w:val="24"/>
          <w:lang w:eastAsia="en-US"/>
        </w:rPr>
      </w:pPr>
      <w:r w:rsidRPr="00174796">
        <w:rPr>
          <w:rFonts w:eastAsiaTheme="minorHAnsi"/>
          <w:b/>
          <w:sz w:val="24"/>
          <w:szCs w:val="24"/>
          <w:lang w:eastAsia="en-US"/>
        </w:rPr>
        <w:t>Специфична цел 1.1.3. Стимулиране на местното развитие, чрез инвестициите в неземеделските дейности и заетост.</w:t>
      </w:r>
      <w:r w:rsidRPr="00174796">
        <w:rPr>
          <w:rFonts w:eastAsiaTheme="minorHAnsi"/>
          <w:sz w:val="24"/>
          <w:szCs w:val="24"/>
          <w:lang w:eastAsia="en-US"/>
        </w:rPr>
        <w:t xml:space="preserve"> Тази цел е фокусирана  върху подпомагане развитието на стопански дейности насочени към разнообразяване на икономиката, включително използване на наличните антропогенни за развитие на балнеоложки, </w:t>
      </w:r>
      <w:proofErr w:type="spellStart"/>
      <w:r w:rsidRPr="00174796">
        <w:rPr>
          <w:rFonts w:eastAsiaTheme="minorHAnsi"/>
          <w:sz w:val="24"/>
          <w:szCs w:val="24"/>
          <w:lang w:eastAsia="en-US"/>
        </w:rPr>
        <w:t>еко</w:t>
      </w:r>
      <w:proofErr w:type="spellEnd"/>
      <w:r w:rsidRPr="00174796">
        <w:rPr>
          <w:rFonts w:eastAsiaTheme="minorHAnsi"/>
          <w:sz w:val="24"/>
          <w:szCs w:val="24"/>
          <w:lang w:eastAsia="en-US"/>
        </w:rPr>
        <w:t xml:space="preserve">, селски туризъм. </w:t>
      </w:r>
    </w:p>
    <w:p w:rsidR="00174796" w:rsidRPr="00174796" w:rsidRDefault="00174796" w:rsidP="00631570">
      <w:pPr>
        <w:widowControl/>
        <w:autoSpaceDE/>
        <w:autoSpaceDN/>
        <w:adjustRightInd/>
        <w:spacing w:line="276" w:lineRule="auto"/>
        <w:ind w:firstLine="567"/>
        <w:jc w:val="both"/>
        <w:rPr>
          <w:rFonts w:eastAsiaTheme="minorHAnsi"/>
          <w:i/>
          <w:sz w:val="24"/>
          <w:szCs w:val="24"/>
          <w:lang w:eastAsia="en-US"/>
        </w:rPr>
      </w:pPr>
      <w:r w:rsidRPr="00174796">
        <w:rPr>
          <w:rFonts w:eastAsiaTheme="minorHAnsi"/>
          <w:i/>
          <w:sz w:val="24"/>
          <w:szCs w:val="24"/>
          <w:lang w:eastAsia="en-US"/>
        </w:rPr>
        <w:t xml:space="preserve">Тази цел се финансира от ПРСР 2014-2020  </w:t>
      </w:r>
    </w:p>
    <w:p w:rsidR="00174796" w:rsidRPr="00174796" w:rsidRDefault="00174796" w:rsidP="00631570">
      <w:pPr>
        <w:widowControl/>
        <w:autoSpaceDE/>
        <w:autoSpaceDN/>
        <w:adjustRightInd/>
        <w:spacing w:line="276" w:lineRule="auto"/>
        <w:ind w:firstLine="567"/>
        <w:jc w:val="both"/>
        <w:rPr>
          <w:rFonts w:eastAsiaTheme="minorHAnsi"/>
          <w:b/>
          <w:sz w:val="24"/>
          <w:szCs w:val="24"/>
          <w:lang w:eastAsia="en-US"/>
        </w:rPr>
      </w:pPr>
      <w:r w:rsidRPr="00174796">
        <w:rPr>
          <w:rFonts w:eastAsiaTheme="minorHAnsi"/>
          <w:b/>
          <w:sz w:val="24"/>
          <w:szCs w:val="24"/>
          <w:lang w:eastAsia="en-US"/>
        </w:rPr>
        <w:t>Mярка6 „ Развитие на стопанства и предприятия“</w:t>
      </w:r>
    </w:p>
    <w:p w:rsidR="00174796" w:rsidRPr="00174796" w:rsidRDefault="00174796" w:rsidP="00631570">
      <w:pPr>
        <w:widowControl/>
        <w:autoSpaceDE/>
        <w:autoSpaceDN/>
        <w:adjustRightInd/>
        <w:spacing w:line="276" w:lineRule="auto"/>
        <w:ind w:firstLine="567"/>
        <w:jc w:val="both"/>
        <w:rPr>
          <w:rFonts w:eastAsiaTheme="minorHAnsi"/>
          <w:sz w:val="24"/>
          <w:szCs w:val="24"/>
          <w:lang w:eastAsia="en-US"/>
        </w:rPr>
      </w:pPr>
      <w:r w:rsidRPr="00174796">
        <w:rPr>
          <w:rFonts w:eastAsiaTheme="minorHAnsi"/>
          <w:sz w:val="24"/>
          <w:szCs w:val="24"/>
          <w:lang w:eastAsia="en-US"/>
        </w:rPr>
        <w:t>Цели:</w:t>
      </w:r>
      <w:r>
        <w:rPr>
          <w:rFonts w:eastAsiaTheme="minorHAnsi"/>
          <w:sz w:val="24"/>
          <w:szCs w:val="24"/>
          <w:lang w:eastAsia="en-US"/>
        </w:rPr>
        <w:t xml:space="preserve"> </w:t>
      </w:r>
      <w:r w:rsidRPr="00174796">
        <w:rPr>
          <w:rFonts w:eastAsiaTheme="minorHAnsi"/>
          <w:sz w:val="24"/>
          <w:szCs w:val="24"/>
          <w:lang w:eastAsia="en-US"/>
        </w:rPr>
        <w:t xml:space="preserve">Насърчаване на предприемаческата инициатива за предлагане на нови продукти, услуги и заетост, чрез за разнообразяване към неземеделските дейности на земеделските стопанства. Подпомагането на земеделски производители от територията да развият неземеделски дейности ще създаде нови работни места .да се  осигури допълнителен и стабилен доход за земеделците.  </w:t>
      </w:r>
    </w:p>
    <w:p w:rsidR="00174796" w:rsidRPr="00174796" w:rsidRDefault="00174796" w:rsidP="00631570">
      <w:pPr>
        <w:widowControl/>
        <w:autoSpaceDE/>
        <w:autoSpaceDN/>
        <w:adjustRightInd/>
        <w:spacing w:line="276" w:lineRule="auto"/>
        <w:ind w:firstLine="567"/>
        <w:jc w:val="both"/>
        <w:rPr>
          <w:rFonts w:eastAsiaTheme="minorHAnsi"/>
          <w:b/>
          <w:sz w:val="24"/>
          <w:szCs w:val="24"/>
          <w:lang w:eastAsia="en-US"/>
        </w:rPr>
      </w:pPr>
      <w:r w:rsidRPr="00174796">
        <w:rPr>
          <w:rFonts w:eastAsiaTheme="minorHAnsi"/>
          <w:b/>
          <w:sz w:val="24"/>
          <w:szCs w:val="24"/>
          <w:lang w:eastAsia="en-US"/>
        </w:rPr>
        <w:t>Подмярка6.4.„Инвестиции в подкрепа на неземеделски дейности“;</w:t>
      </w:r>
    </w:p>
    <w:p w:rsidR="00174796" w:rsidRPr="00174796" w:rsidRDefault="00174796" w:rsidP="00631570">
      <w:pPr>
        <w:widowControl/>
        <w:autoSpaceDE/>
        <w:autoSpaceDN/>
        <w:adjustRightInd/>
        <w:spacing w:line="276" w:lineRule="auto"/>
        <w:ind w:firstLine="567"/>
        <w:jc w:val="both"/>
        <w:rPr>
          <w:rFonts w:eastAsiaTheme="minorHAnsi"/>
          <w:sz w:val="24"/>
          <w:szCs w:val="24"/>
          <w:lang w:eastAsia="en-US"/>
        </w:rPr>
      </w:pPr>
      <w:r w:rsidRPr="00174796">
        <w:rPr>
          <w:rFonts w:eastAsiaTheme="minorHAnsi"/>
          <w:b/>
          <w:sz w:val="24"/>
          <w:szCs w:val="24"/>
          <w:lang w:eastAsia="en-US"/>
        </w:rPr>
        <w:t>Цел 2 Подобряване на качеството за живот, на достъпа до публичните услуги и развитие на местната идентичност.</w:t>
      </w:r>
      <w:r w:rsidRPr="00174796">
        <w:rPr>
          <w:rFonts w:eastAsiaTheme="minorHAnsi"/>
          <w:sz w:val="24"/>
          <w:szCs w:val="24"/>
          <w:lang w:eastAsia="en-US"/>
        </w:rPr>
        <w:t xml:space="preserve"> Тази цел е насочена към подобряването на местната  инфраструктура, поддържане и развитие на урбанизираната среда осигуряването на по-добра, по-съвременна и качествена образователна, социална среда и подобряване на  туристическите услуги.  </w:t>
      </w:r>
    </w:p>
    <w:p w:rsidR="00174796" w:rsidRPr="00174796" w:rsidRDefault="00174796" w:rsidP="00631570">
      <w:pPr>
        <w:widowControl/>
        <w:autoSpaceDE/>
        <w:autoSpaceDN/>
        <w:adjustRightInd/>
        <w:spacing w:line="276" w:lineRule="auto"/>
        <w:ind w:firstLine="567"/>
        <w:jc w:val="both"/>
        <w:rPr>
          <w:rFonts w:eastAsiaTheme="minorHAnsi"/>
          <w:sz w:val="24"/>
          <w:szCs w:val="24"/>
          <w:lang w:eastAsia="en-US"/>
        </w:rPr>
      </w:pPr>
      <w:r w:rsidRPr="00174796">
        <w:rPr>
          <w:rFonts w:eastAsiaTheme="minorHAnsi"/>
          <w:b/>
          <w:sz w:val="24"/>
          <w:szCs w:val="24"/>
          <w:lang w:eastAsia="en-US"/>
        </w:rPr>
        <w:t>Приоритет 2.1.Подпомагане на инвестиции в инфраструктура, насърчаващи икономическото съживяване , социалното и културно развитие на населените места.</w:t>
      </w:r>
      <w:r w:rsidRPr="00174796">
        <w:rPr>
          <w:rFonts w:eastAsiaTheme="minorHAnsi"/>
          <w:sz w:val="24"/>
          <w:szCs w:val="24"/>
          <w:lang w:eastAsia="en-US"/>
        </w:rPr>
        <w:t xml:space="preserve"> Приоритетът е насочен към изграждане и обновяване на техническа и социалната инфраструктура. Благоустрояване на средата на живот в населените места е обусловено от необходимостта да се подобри състоянието на уличната мрежа, на публичните пространства, включително публична инфраструктура за отдих и туристическа информация. </w:t>
      </w:r>
    </w:p>
    <w:p w:rsidR="00174796" w:rsidRPr="00174796" w:rsidRDefault="00174796" w:rsidP="00631570">
      <w:pPr>
        <w:widowControl/>
        <w:autoSpaceDE/>
        <w:autoSpaceDN/>
        <w:adjustRightInd/>
        <w:spacing w:line="276" w:lineRule="auto"/>
        <w:ind w:firstLine="567"/>
        <w:jc w:val="both"/>
        <w:rPr>
          <w:rFonts w:eastAsiaTheme="minorHAnsi"/>
          <w:b/>
          <w:sz w:val="24"/>
          <w:szCs w:val="24"/>
          <w:lang w:eastAsia="en-US"/>
        </w:rPr>
      </w:pPr>
      <w:r w:rsidRPr="00174796">
        <w:rPr>
          <w:rFonts w:eastAsiaTheme="minorHAnsi"/>
          <w:b/>
          <w:sz w:val="24"/>
          <w:szCs w:val="24"/>
          <w:lang w:eastAsia="en-US"/>
        </w:rPr>
        <w:t xml:space="preserve">Специфична цел 2.1.1 Подобряване на съществуващата инфраструктура, на качеството и средата за живеене и достъпа до предлаганите публични, социални и туристически услуги. </w:t>
      </w:r>
    </w:p>
    <w:p w:rsidR="00174796" w:rsidRPr="00174796" w:rsidRDefault="00174796" w:rsidP="00631570">
      <w:pPr>
        <w:widowControl/>
        <w:autoSpaceDE/>
        <w:autoSpaceDN/>
        <w:adjustRightInd/>
        <w:spacing w:line="276" w:lineRule="auto"/>
        <w:ind w:firstLine="567"/>
        <w:jc w:val="both"/>
        <w:rPr>
          <w:rFonts w:eastAsiaTheme="minorHAnsi"/>
          <w:i/>
          <w:sz w:val="24"/>
          <w:szCs w:val="24"/>
          <w:lang w:eastAsia="en-US"/>
        </w:rPr>
      </w:pPr>
      <w:r w:rsidRPr="00174796">
        <w:rPr>
          <w:rFonts w:eastAsiaTheme="minorHAnsi"/>
          <w:i/>
          <w:sz w:val="24"/>
          <w:szCs w:val="24"/>
          <w:lang w:eastAsia="en-US"/>
        </w:rPr>
        <w:t>Дейностите по приоритета  ще бъдат осъществени чрез Мерки 7.2 и 7.5 на ПРСР .</w:t>
      </w:r>
    </w:p>
    <w:p w:rsidR="00174796" w:rsidRPr="00174796" w:rsidRDefault="00174796" w:rsidP="00631570">
      <w:pPr>
        <w:widowControl/>
        <w:spacing w:line="276" w:lineRule="auto"/>
        <w:ind w:firstLine="567"/>
        <w:rPr>
          <w:b/>
          <w:sz w:val="24"/>
          <w:szCs w:val="24"/>
        </w:rPr>
      </w:pPr>
      <w:r w:rsidRPr="00174796">
        <w:rPr>
          <w:b/>
          <w:sz w:val="24"/>
          <w:szCs w:val="24"/>
        </w:rPr>
        <w:t xml:space="preserve">Мярка 7 „Основни услуги и обновяване на селата в селските райони“ </w:t>
      </w:r>
    </w:p>
    <w:p w:rsidR="00174796" w:rsidRDefault="00174796" w:rsidP="00631570">
      <w:pPr>
        <w:widowControl/>
        <w:spacing w:line="276" w:lineRule="auto"/>
        <w:ind w:firstLine="567"/>
        <w:rPr>
          <w:sz w:val="24"/>
          <w:szCs w:val="24"/>
        </w:rPr>
      </w:pPr>
      <w:r w:rsidRPr="00FD0EC7">
        <w:rPr>
          <w:sz w:val="24"/>
          <w:szCs w:val="24"/>
        </w:rPr>
        <w:t>7.2.Инвестиции в създаването, подобряването или  разширяването на всички видове малка по мащаби инфраструктура</w:t>
      </w:r>
    </w:p>
    <w:p w:rsidR="00174796" w:rsidRDefault="00174796" w:rsidP="00631570">
      <w:pPr>
        <w:widowControl/>
        <w:spacing w:line="276" w:lineRule="auto"/>
        <w:ind w:firstLine="567"/>
        <w:rPr>
          <w:sz w:val="24"/>
          <w:szCs w:val="24"/>
        </w:rPr>
      </w:pPr>
      <w:proofErr w:type="spellStart"/>
      <w:r>
        <w:rPr>
          <w:sz w:val="24"/>
          <w:szCs w:val="24"/>
        </w:rPr>
        <w:t>П</w:t>
      </w:r>
      <w:r w:rsidRPr="00FD0EC7">
        <w:rPr>
          <w:sz w:val="24"/>
          <w:szCs w:val="24"/>
        </w:rPr>
        <w:t>одмярка</w:t>
      </w:r>
      <w:proofErr w:type="spellEnd"/>
      <w:r w:rsidRPr="00FD0EC7">
        <w:rPr>
          <w:sz w:val="24"/>
          <w:szCs w:val="24"/>
        </w:rPr>
        <w:t xml:space="preserve"> 7.5. Инвестиции за публично ползване в инфраструктура за отдих, туристическа инфраструктура</w:t>
      </w:r>
    </w:p>
    <w:p w:rsidR="00E072EF" w:rsidRDefault="00E072EF" w:rsidP="00631570">
      <w:pPr>
        <w:widowControl/>
        <w:spacing w:line="276" w:lineRule="auto"/>
        <w:ind w:firstLine="567"/>
        <w:rPr>
          <w:sz w:val="24"/>
          <w:szCs w:val="24"/>
        </w:rPr>
      </w:pPr>
    </w:p>
    <w:p w:rsidR="00E072EF" w:rsidRPr="00E072EF" w:rsidRDefault="00E072EF" w:rsidP="00631570">
      <w:pPr>
        <w:widowControl/>
        <w:autoSpaceDE/>
        <w:autoSpaceDN/>
        <w:adjustRightInd/>
        <w:spacing w:line="276" w:lineRule="auto"/>
        <w:ind w:firstLine="567"/>
        <w:jc w:val="both"/>
        <w:rPr>
          <w:rFonts w:eastAsiaTheme="minorHAnsi"/>
          <w:sz w:val="24"/>
          <w:szCs w:val="24"/>
          <w:lang w:eastAsia="en-US"/>
        </w:rPr>
      </w:pPr>
      <w:r w:rsidRPr="00E072EF">
        <w:rPr>
          <w:rFonts w:eastAsiaTheme="minorHAnsi"/>
          <w:b/>
          <w:sz w:val="24"/>
          <w:szCs w:val="24"/>
          <w:lang w:eastAsia="en-US"/>
        </w:rPr>
        <w:t>Цел 3 Подобряване на качеството на човешките ресурси, на възможностите за заетост и насърчаване на социалното приобщаване</w:t>
      </w:r>
      <w:r w:rsidRPr="00E072EF">
        <w:rPr>
          <w:rFonts w:eastAsiaTheme="minorHAnsi"/>
          <w:sz w:val="24"/>
          <w:szCs w:val="24"/>
          <w:lang w:eastAsia="en-US"/>
        </w:rPr>
        <w:t xml:space="preserve">. Целта е насочена към преодоляване на негативните процеси на територията като високи нива на безработица. висок риск от социално изключване, на дълготрайно безработните и на лицата над 50 г. </w:t>
      </w:r>
      <w:r w:rsidRPr="00E072EF">
        <w:rPr>
          <w:rFonts w:eastAsiaTheme="minorHAnsi"/>
          <w:sz w:val="24"/>
          <w:szCs w:val="24"/>
          <w:lang w:eastAsia="en-US"/>
        </w:rPr>
        <w:lastRenderedPageBreak/>
        <w:t>и на ниско образованите в икономическа активна възраст лица. Създаването на условия за заетост и за интеграция до пазара на труда, чрез обучения и квалификация.</w:t>
      </w:r>
    </w:p>
    <w:p w:rsidR="00E072EF" w:rsidRDefault="00E072EF" w:rsidP="00631570">
      <w:pPr>
        <w:widowControl/>
        <w:autoSpaceDE/>
        <w:autoSpaceDN/>
        <w:adjustRightInd/>
        <w:spacing w:line="276" w:lineRule="auto"/>
        <w:ind w:firstLine="567"/>
        <w:jc w:val="both"/>
        <w:rPr>
          <w:rFonts w:eastAsiaTheme="minorHAnsi"/>
          <w:b/>
          <w:sz w:val="24"/>
          <w:szCs w:val="24"/>
          <w:lang w:eastAsia="en-US"/>
        </w:rPr>
      </w:pPr>
      <w:r w:rsidRPr="00E072EF">
        <w:rPr>
          <w:rFonts w:eastAsiaTheme="minorHAnsi"/>
          <w:b/>
          <w:sz w:val="24"/>
          <w:szCs w:val="24"/>
          <w:lang w:eastAsia="en-US"/>
        </w:rPr>
        <w:t>Приоритет 3.1 Постигане на по-добра образователна и квалификационна структура на населението и подобряване на достъпа до социални услуги на ромския етнос.</w:t>
      </w:r>
    </w:p>
    <w:p w:rsidR="00E072EF" w:rsidRDefault="00E072EF" w:rsidP="00631570">
      <w:pPr>
        <w:widowControl/>
        <w:autoSpaceDE/>
        <w:autoSpaceDN/>
        <w:adjustRightInd/>
        <w:spacing w:line="276" w:lineRule="auto"/>
        <w:ind w:firstLine="567"/>
        <w:jc w:val="both"/>
        <w:rPr>
          <w:rFonts w:eastAsiaTheme="minorHAnsi"/>
          <w:sz w:val="24"/>
          <w:szCs w:val="24"/>
          <w:lang w:eastAsia="en-US"/>
        </w:rPr>
      </w:pPr>
      <w:r w:rsidRPr="00E072EF">
        <w:rPr>
          <w:rFonts w:eastAsiaTheme="minorHAnsi"/>
          <w:sz w:val="24"/>
          <w:szCs w:val="24"/>
          <w:lang w:eastAsia="en-US"/>
        </w:rPr>
        <w:t xml:space="preserve">Приоритетът е насочен към подобряване на качествените характеристики на работната сила, улесняване на прехода от образование към пазара на труда; въвеждане на мерки за преодоляване на бариерите пред мобилността. </w:t>
      </w:r>
    </w:p>
    <w:p w:rsidR="00E072EF" w:rsidRPr="00E072EF" w:rsidRDefault="00E072EF" w:rsidP="00631570">
      <w:pPr>
        <w:widowControl/>
        <w:autoSpaceDE/>
        <w:autoSpaceDN/>
        <w:adjustRightInd/>
        <w:spacing w:line="276" w:lineRule="auto"/>
        <w:ind w:firstLine="567"/>
        <w:jc w:val="both"/>
        <w:rPr>
          <w:rFonts w:eastAsiaTheme="minorHAnsi"/>
          <w:b/>
          <w:sz w:val="24"/>
          <w:szCs w:val="24"/>
          <w:lang w:eastAsia="en-US"/>
        </w:rPr>
      </w:pPr>
      <w:r w:rsidRPr="00E072EF">
        <w:rPr>
          <w:rFonts w:eastAsiaTheme="minorHAnsi"/>
          <w:b/>
          <w:sz w:val="24"/>
          <w:szCs w:val="24"/>
          <w:lang w:eastAsia="en-US"/>
        </w:rPr>
        <w:t>Дейностите по приоритет 3.1 ще бъдат осъществени по мерки на ОПРЧР</w:t>
      </w:r>
    </w:p>
    <w:p w:rsidR="00E072EF" w:rsidRDefault="00E072EF" w:rsidP="00631570">
      <w:pPr>
        <w:widowControl/>
        <w:autoSpaceDE/>
        <w:autoSpaceDN/>
        <w:adjustRightInd/>
        <w:spacing w:line="276" w:lineRule="auto"/>
        <w:ind w:firstLine="567"/>
        <w:jc w:val="both"/>
        <w:rPr>
          <w:rFonts w:eastAsiaTheme="minorHAnsi"/>
          <w:b/>
          <w:sz w:val="24"/>
          <w:szCs w:val="24"/>
          <w:lang w:eastAsia="en-US"/>
        </w:rPr>
      </w:pPr>
      <w:r w:rsidRPr="00E072EF">
        <w:rPr>
          <w:rFonts w:eastAsiaTheme="minorHAnsi"/>
          <w:b/>
          <w:sz w:val="24"/>
          <w:szCs w:val="24"/>
          <w:lang w:eastAsia="en-US"/>
        </w:rPr>
        <w:t xml:space="preserve">Специфична цел 3.1.1 Създаване на условия за приспособяване на работещите към промените и подобряване на знанията, уменията и компетенциите на работната ръка. </w:t>
      </w:r>
      <w:r>
        <w:rPr>
          <w:rFonts w:eastAsiaTheme="minorHAnsi"/>
          <w:b/>
          <w:sz w:val="24"/>
          <w:szCs w:val="24"/>
          <w:lang w:eastAsia="en-US"/>
        </w:rPr>
        <w:t xml:space="preserve"> </w:t>
      </w:r>
    </w:p>
    <w:p w:rsidR="00E072EF" w:rsidRPr="00E072EF" w:rsidRDefault="00E072EF" w:rsidP="00631570">
      <w:pPr>
        <w:widowControl/>
        <w:autoSpaceDE/>
        <w:autoSpaceDN/>
        <w:adjustRightInd/>
        <w:spacing w:line="276" w:lineRule="auto"/>
        <w:ind w:firstLine="567"/>
        <w:jc w:val="both"/>
        <w:rPr>
          <w:rFonts w:eastAsiaTheme="minorHAnsi"/>
          <w:b/>
          <w:sz w:val="24"/>
          <w:szCs w:val="24"/>
          <w:lang w:eastAsia="en-US"/>
        </w:rPr>
      </w:pPr>
      <w:r w:rsidRPr="00E072EF">
        <w:rPr>
          <w:rFonts w:eastAsiaTheme="minorHAnsi"/>
          <w:b/>
          <w:sz w:val="24"/>
          <w:szCs w:val="24"/>
          <w:lang w:eastAsia="en-US"/>
        </w:rPr>
        <w:t>Мерки по ОПРЧР</w:t>
      </w:r>
    </w:p>
    <w:p w:rsidR="00E072EF" w:rsidRPr="00E072EF" w:rsidRDefault="00E072EF" w:rsidP="00631570">
      <w:pPr>
        <w:spacing w:line="276" w:lineRule="auto"/>
        <w:ind w:firstLine="567"/>
        <w:rPr>
          <w:rFonts w:eastAsiaTheme="minorHAnsi"/>
          <w:sz w:val="24"/>
          <w:szCs w:val="24"/>
          <w:lang w:eastAsia="en-US"/>
        </w:rPr>
      </w:pPr>
      <w:r w:rsidRPr="00E072EF">
        <w:rPr>
          <w:rFonts w:eastAsiaTheme="minorHAnsi"/>
          <w:b/>
          <w:bCs/>
          <w:sz w:val="24"/>
          <w:szCs w:val="24"/>
          <w:lang w:eastAsia="en-US"/>
        </w:rPr>
        <w:t xml:space="preserve">Приоритетна ос № 1 „Подобряване достъпа до заетост и качеството на работните места“ </w:t>
      </w:r>
    </w:p>
    <w:p w:rsidR="00E072EF" w:rsidRPr="00E072EF" w:rsidRDefault="00E072EF" w:rsidP="00631570">
      <w:pPr>
        <w:spacing w:line="276" w:lineRule="auto"/>
        <w:ind w:firstLine="567"/>
        <w:rPr>
          <w:rFonts w:eastAsiaTheme="minorHAnsi"/>
          <w:sz w:val="24"/>
          <w:szCs w:val="24"/>
          <w:lang w:eastAsia="en-US"/>
        </w:rPr>
      </w:pPr>
      <w:r w:rsidRPr="00E072EF">
        <w:rPr>
          <w:rFonts w:eastAsiaTheme="minorHAnsi"/>
          <w:b/>
          <w:bCs/>
          <w:sz w:val="24"/>
          <w:szCs w:val="24"/>
          <w:lang w:eastAsia="en-US"/>
        </w:rPr>
        <w:t>Инвестиционен приоритет № 1</w:t>
      </w:r>
      <w:r w:rsidRPr="00E072EF">
        <w:rPr>
          <w:rFonts w:eastAsiaTheme="minorHAnsi"/>
          <w:sz w:val="24"/>
          <w:szCs w:val="24"/>
          <w:lang w:eastAsia="en-US"/>
        </w:rPr>
        <w:t>: „Достъп до заетост за търсещите работа и неактивните лица, включително трайно безработни и лица, отдалечени от пазара на труда, а също и чрез местните инициативи за заетост, и подкрепа за мобилността на работната сила“</w:t>
      </w:r>
    </w:p>
    <w:p w:rsidR="00E072EF" w:rsidRPr="00E072EF" w:rsidRDefault="00E072EF" w:rsidP="00631570">
      <w:pPr>
        <w:spacing w:line="276" w:lineRule="auto"/>
        <w:ind w:firstLine="567"/>
        <w:rPr>
          <w:rFonts w:eastAsiaTheme="minorHAnsi"/>
          <w:b/>
          <w:sz w:val="24"/>
          <w:szCs w:val="24"/>
          <w:lang w:eastAsia="en-US"/>
        </w:rPr>
      </w:pPr>
      <w:proofErr w:type="spellStart"/>
      <w:r w:rsidRPr="00E072EF">
        <w:rPr>
          <w:rFonts w:eastAsiaTheme="minorHAnsi"/>
          <w:b/>
          <w:sz w:val="24"/>
          <w:szCs w:val="24"/>
          <w:lang w:eastAsia="en-US"/>
        </w:rPr>
        <w:t>Подмярка</w:t>
      </w:r>
      <w:proofErr w:type="spellEnd"/>
      <w:r w:rsidRPr="00E072EF">
        <w:rPr>
          <w:rFonts w:eastAsiaTheme="minorHAnsi"/>
          <w:b/>
          <w:sz w:val="24"/>
          <w:szCs w:val="24"/>
          <w:lang w:eastAsia="en-US"/>
        </w:rPr>
        <w:t xml:space="preserve"> 8.1: Достъп до заетост и подобряване качеството на работните места</w:t>
      </w:r>
    </w:p>
    <w:p w:rsidR="00E072EF" w:rsidRPr="00E072EF" w:rsidRDefault="00E072EF" w:rsidP="00631570">
      <w:pPr>
        <w:spacing w:line="276" w:lineRule="auto"/>
        <w:ind w:firstLine="567"/>
        <w:rPr>
          <w:rFonts w:eastAsiaTheme="minorHAnsi"/>
          <w:bCs/>
          <w:i/>
          <w:iCs/>
          <w:sz w:val="24"/>
          <w:szCs w:val="24"/>
          <w:lang w:eastAsia="en-US"/>
        </w:rPr>
      </w:pPr>
      <w:r w:rsidRPr="00E072EF">
        <w:rPr>
          <w:rFonts w:eastAsiaTheme="minorHAnsi"/>
          <w:b/>
          <w:sz w:val="24"/>
          <w:szCs w:val="24"/>
          <w:lang w:eastAsia="en-US"/>
        </w:rPr>
        <w:t>Инвестиции чрез ЕСФ на територията на МИГ в:</w:t>
      </w:r>
      <w:r>
        <w:rPr>
          <w:rFonts w:eastAsiaTheme="minorHAnsi"/>
          <w:b/>
          <w:sz w:val="24"/>
          <w:szCs w:val="24"/>
          <w:lang w:eastAsia="en-US"/>
        </w:rPr>
        <w:t xml:space="preserve"> </w:t>
      </w:r>
      <w:r w:rsidRPr="00E072EF">
        <w:rPr>
          <w:rFonts w:eastAsiaTheme="minorHAnsi"/>
          <w:bCs/>
          <w:i/>
          <w:iCs/>
          <w:sz w:val="24"/>
          <w:szCs w:val="24"/>
          <w:lang w:eastAsia="en-US"/>
        </w:rPr>
        <w:t>Обучения и преквалификация на заети лица. Специфични обучения ; Обучения и квалификация на безработни лица;Подкрепа на развитие на предприемачеството и стартиране на бизнес (младежи и безработни лица);Адаптиране на предприятията и  работните места към промените на пазара на труда</w:t>
      </w:r>
    </w:p>
    <w:p w:rsidR="00E072EF" w:rsidRDefault="00E072EF" w:rsidP="00631570">
      <w:pPr>
        <w:widowControl/>
        <w:spacing w:line="276" w:lineRule="auto"/>
        <w:ind w:firstLine="567"/>
        <w:rPr>
          <w:rFonts w:eastAsiaTheme="minorHAnsi"/>
          <w:b/>
          <w:sz w:val="24"/>
          <w:szCs w:val="24"/>
          <w:lang w:eastAsia="en-US"/>
        </w:rPr>
      </w:pPr>
      <w:r w:rsidRPr="005B1697">
        <w:rPr>
          <w:rFonts w:eastAsia="Times New Roman"/>
          <w:b/>
          <w:sz w:val="24"/>
          <w:szCs w:val="24"/>
          <w:shd w:val="clear" w:color="auto" w:fill="FEFEFE"/>
        </w:rPr>
        <w:t>Специфична цел 3.1.2</w:t>
      </w:r>
      <w:r w:rsidRPr="005B1697">
        <w:rPr>
          <w:rFonts w:eastAsia="Times New Roman"/>
          <w:sz w:val="24"/>
          <w:szCs w:val="24"/>
          <w:shd w:val="clear" w:color="auto" w:fill="FEFEFE"/>
        </w:rPr>
        <w:t xml:space="preserve"> </w:t>
      </w:r>
      <w:r w:rsidRPr="007F23EF">
        <w:rPr>
          <w:rFonts w:eastAsiaTheme="minorHAnsi"/>
          <w:b/>
          <w:sz w:val="24"/>
          <w:szCs w:val="24"/>
          <w:lang w:eastAsia="en-US"/>
        </w:rPr>
        <w:t xml:space="preserve">Подпомагане на мобилността на работната сила на млади хора и търсещи работа, неактивни лица и безработни  и интегрирането им </w:t>
      </w:r>
      <w:r>
        <w:rPr>
          <w:rFonts w:eastAsiaTheme="minorHAnsi"/>
          <w:b/>
          <w:sz w:val="24"/>
          <w:szCs w:val="24"/>
          <w:lang w:eastAsia="en-US"/>
        </w:rPr>
        <w:t>на</w:t>
      </w:r>
      <w:r w:rsidRPr="007F23EF">
        <w:rPr>
          <w:rFonts w:eastAsiaTheme="minorHAnsi"/>
          <w:b/>
          <w:sz w:val="24"/>
          <w:szCs w:val="24"/>
          <w:lang w:eastAsia="en-US"/>
        </w:rPr>
        <w:t xml:space="preserve"> пазара на труда</w:t>
      </w:r>
    </w:p>
    <w:p w:rsidR="00E072EF" w:rsidRPr="00E072EF" w:rsidRDefault="00E072EF" w:rsidP="00631570">
      <w:pPr>
        <w:spacing w:line="276" w:lineRule="auto"/>
        <w:ind w:firstLine="567"/>
        <w:rPr>
          <w:rFonts w:eastAsiaTheme="minorHAnsi"/>
          <w:b/>
          <w:sz w:val="24"/>
          <w:szCs w:val="24"/>
          <w:lang w:eastAsia="en-US"/>
        </w:rPr>
      </w:pPr>
      <w:proofErr w:type="spellStart"/>
      <w:r w:rsidRPr="00E072EF">
        <w:rPr>
          <w:rFonts w:eastAsiaTheme="minorHAnsi"/>
          <w:b/>
          <w:sz w:val="24"/>
          <w:szCs w:val="24"/>
          <w:lang w:eastAsia="en-US"/>
        </w:rPr>
        <w:t>Подмярка</w:t>
      </w:r>
      <w:proofErr w:type="spellEnd"/>
      <w:r w:rsidRPr="00E072EF">
        <w:rPr>
          <w:rFonts w:eastAsiaTheme="minorHAnsi"/>
          <w:b/>
          <w:sz w:val="24"/>
          <w:szCs w:val="24"/>
          <w:lang w:eastAsia="en-US"/>
        </w:rPr>
        <w:t xml:space="preserve"> 8.</w:t>
      </w:r>
      <w:r>
        <w:rPr>
          <w:rFonts w:eastAsiaTheme="minorHAnsi"/>
          <w:b/>
          <w:sz w:val="24"/>
          <w:szCs w:val="24"/>
          <w:lang w:eastAsia="en-US"/>
        </w:rPr>
        <w:t>2</w:t>
      </w:r>
      <w:r w:rsidRPr="00E072EF">
        <w:rPr>
          <w:rFonts w:eastAsiaTheme="minorHAnsi"/>
          <w:b/>
          <w:sz w:val="24"/>
          <w:szCs w:val="24"/>
          <w:lang w:eastAsia="en-US"/>
        </w:rPr>
        <w:t xml:space="preserve">: Достъп до </w:t>
      </w:r>
      <w:r>
        <w:rPr>
          <w:rFonts w:eastAsiaTheme="minorHAnsi"/>
          <w:b/>
          <w:sz w:val="24"/>
          <w:szCs w:val="24"/>
          <w:lang w:eastAsia="en-US"/>
        </w:rPr>
        <w:t>пазара на труда на безраб</w:t>
      </w:r>
      <w:r w:rsidR="00592FF2">
        <w:rPr>
          <w:rFonts w:eastAsiaTheme="minorHAnsi"/>
          <w:b/>
          <w:sz w:val="24"/>
          <w:szCs w:val="24"/>
          <w:lang w:eastAsia="en-US"/>
        </w:rPr>
        <w:t>о</w:t>
      </w:r>
      <w:r>
        <w:rPr>
          <w:rFonts w:eastAsiaTheme="minorHAnsi"/>
          <w:b/>
          <w:sz w:val="24"/>
          <w:szCs w:val="24"/>
          <w:lang w:eastAsia="en-US"/>
        </w:rPr>
        <w:t xml:space="preserve">тни </w:t>
      </w:r>
      <w:r w:rsidR="00592FF2">
        <w:rPr>
          <w:rFonts w:eastAsiaTheme="minorHAnsi"/>
          <w:b/>
          <w:sz w:val="24"/>
          <w:szCs w:val="24"/>
          <w:lang w:eastAsia="en-US"/>
        </w:rPr>
        <w:t xml:space="preserve"> и неактивни лица </w:t>
      </w:r>
    </w:p>
    <w:p w:rsidR="00592FF2" w:rsidRPr="00592FF2" w:rsidRDefault="00592FF2" w:rsidP="00631570">
      <w:pPr>
        <w:widowControl/>
        <w:spacing w:line="276" w:lineRule="auto"/>
        <w:ind w:firstLine="567"/>
        <w:rPr>
          <w:rFonts w:eastAsia="Times New Roman"/>
          <w:b/>
          <w:sz w:val="24"/>
          <w:szCs w:val="24"/>
          <w:shd w:val="clear" w:color="auto" w:fill="FEFEFE"/>
        </w:rPr>
      </w:pPr>
      <w:r w:rsidRPr="00592FF2">
        <w:rPr>
          <w:rFonts w:eastAsia="Times New Roman"/>
          <w:b/>
          <w:sz w:val="24"/>
          <w:szCs w:val="24"/>
          <w:shd w:val="clear" w:color="auto" w:fill="FEFEFE"/>
        </w:rPr>
        <w:t xml:space="preserve">Специфичната цел 3.1.3. Социална интеграция на </w:t>
      </w:r>
      <w:proofErr w:type="spellStart"/>
      <w:r w:rsidRPr="00592FF2">
        <w:rPr>
          <w:rFonts w:eastAsia="Times New Roman"/>
          <w:b/>
          <w:sz w:val="24"/>
          <w:szCs w:val="24"/>
          <w:shd w:val="clear" w:color="auto" w:fill="FEFEFE"/>
        </w:rPr>
        <w:t>маргинализирани</w:t>
      </w:r>
      <w:proofErr w:type="spellEnd"/>
      <w:r w:rsidRPr="00592FF2">
        <w:rPr>
          <w:rFonts w:eastAsia="Times New Roman"/>
          <w:b/>
          <w:sz w:val="24"/>
          <w:szCs w:val="24"/>
          <w:shd w:val="clear" w:color="auto" w:fill="FEFEFE"/>
        </w:rPr>
        <w:t xml:space="preserve"> общности, чрез подобряване достъпа до услуги и развитие на социалното предприемачество. </w:t>
      </w:r>
    </w:p>
    <w:p w:rsidR="00E072EF" w:rsidRDefault="00592FF2" w:rsidP="00631570">
      <w:pPr>
        <w:widowControl/>
        <w:spacing w:line="276" w:lineRule="auto"/>
        <w:ind w:firstLine="567"/>
        <w:rPr>
          <w:rFonts w:eastAsiaTheme="minorHAnsi"/>
          <w:sz w:val="24"/>
          <w:szCs w:val="24"/>
          <w:lang w:eastAsia="en-US"/>
        </w:rPr>
      </w:pPr>
      <w:r w:rsidRPr="00592FF2">
        <w:rPr>
          <w:rFonts w:eastAsiaTheme="minorHAnsi"/>
          <w:sz w:val="24"/>
          <w:szCs w:val="24"/>
          <w:lang w:eastAsia="en-US"/>
        </w:rPr>
        <w:t xml:space="preserve">Целта е насочена за </w:t>
      </w:r>
      <w:proofErr w:type="spellStart"/>
      <w:r w:rsidRPr="00592FF2">
        <w:rPr>
          <w:rFonts w:eastAsiaTheme="minorHAnsi"/>
          <w:sz w:val="24"/>
          <w:szCs w:val="24"/>
          <w:lang w:eastAsia="en-US"/>
        </w:rPr>
        <w:t>пПодобряване</w:t>
      </w:r>
      <w:proofErr w:type="spellEnd"/>
      <w:r w:rsidRPr="00592FF2">
        <w:rPr>
          <w:rFonts w:eastAsiaTheme="minorHAnsi"/>
          <w:sz w:val="24"/>
          <w:szCs w:val="24"/>
          <w:lang w:eastAsia="en-US"/>
        </w:rPr>
        <w:t xml:space="preserve"> условията на живот и равноправно включване на ромите и другите уязвими групи в социално-икономическия живот</w:t>
      </w:r>
    </w:p>
    <w:p w:rsidR="00592FF2" w:rsidRPr="00592FF2" w:rsidRDefault="00592FF2" w:rsidP="00631570">
      <w:pPr>
        <w:spacing w:line="276" w:lineRule="auto"/>
        <w:ind w:firstLine="567"/>
        <w:rPr>
          <w:rFonts w:eastAsiaTheme="minorHAnsi"/>
          <w:b/>
          <w:bCs/>
          <w:i/>
          <w:iCs/>
          <w:sz w:val="24"/>
          <w:szCs w:val="24"/>
          <w:lang w:eastAsia="en-US"/>
        </w:rPr>
      </w:pPr>
      <w:proofErr w:type="spellStart"/>
      <w:r w:rsidRPr="00592FF2">
        <w:rPr>
          <w:rFonts w:eastAsiaTheme="minorHAnsi"/>
          <w:b/>
          <w:sz w:val="24"/>
          <w:szCs w:val="24"/>
          <w:lang w:eastAsia="en-US"/>
        </w:rPr>
        <w:t>Подмярка</w:t>
      </w:r>
      <w:proofErr w:type="spellEnd"/>
      <w:r w:rsidRPr="00592FF2">
        <w:rPr>
          <w:rFonts w:eastAsiaTheme="minorHAnsi"/>
          <w:b/>
          <w:sz w:val="24"/>
          <w:szCs w:val="24"/>
          <w:lang w:eastAsia="en-US"/>
        </w:rPr>
        <w:t xml:space="preserve"> 8.2Намаляване на бедността и насърчаване на социалното включване</w:t>
      </w:r>
    </w:p>
    <w:p w:rsidR="00631570" w:rsidRDefault="00631570" w:rsidP="00631570">
      <w:pPr>
        <w:widowControl/>
        <w:spacing w:line="276" w:lineRule="auto"/>
        <w:ind w:firstLine="567"/>
        <w:jc w:val="both"/>
        <w:rPr>
          <w:rFonts w:ascii="TimesNewRomanPSMT" w:eastAsiaTheme="minorHAnsi" w:hAnsi="TimesNewRomanPSMT" w:cs="TimesNewRomanPSMT"/>
          <w:color w:val="1A171B"/>
          <w:sz w:val="24"/>
          <w:szCs w:val="24"/>
          <w:lang w:eastAsia="en-US"/>
        </w:rPr>
      </w:pPr>
      <w:r>
        <w:rPr>
          <w:rFonts w:ascii="TimesNewRomanPSMT" w:eastAsiaTheme="minorHAnsi" w:hAnsi="TimesNewRomanPSMT" w:cs="TimesNewRomanPSMT"/>
          <w:color w:val="1A171B"/>
          <w:sz w:val="24"/>
          <w:szCs w:val="24"/>
          <w:lang w:eastAsia="en-US"/>
        </w:rPr>
        <w:t>Мерките, заложени в стратегията на МИГ „МКГ“са обсъдени и одобрени от всички заинтересовани страни</w:t>
      </w:r>
      <w:r>
        <w:rPr>
          <w:rFonts w:eastAsiaTheme="minorHAnsi"/>
          <w:color w:val="1A171B"/>
          <w:sz w:val="24"/>
          <w:szCs w:val="24"/>
          <w:lang w:eastAsia="en-US"/>
        </w:rPr>
        <w:t>-</w:t>
      </w:r>
      <w:r>
        <w:rPr>
          <w:rFonts w:ascii="TimesNewRomanPSMT" w:eastAsiaTheme="minorHAnsi" w:hAnsi="TimesNewRomanPSMT" w:cs="TimesNewRomanPSMT"/>
          <w:color w:val="1A171B"/>
          <w:sz w:val="24"/>
          <w:szCs w:val="24"/>
          <w:lang w:eastAsia="en-US"/>
        </w:rPr>
        <w:t>участници в процеса на подготовка на стратегията, включително потенциални бенефициенти. Разчетите на бюджета,стойността на проектите са изготвени на основата на анализите на социално</w:t>
      </w:r>
      <w:r>
        <w:rPr>
          <w:rFonts w:eastAsiaTheme="minorHAnsi"/>
          <w:color w:val="1A171B"/>
          <w:sz w:val="24"/>
          <w:szCs w:val="24"/>
          <w:lang w:eastAsia="en-US"/>
        </w:rPr>
        <w:t>-</w:t>
      </w:r>
      <w:r>
        <w:rPr>
          <w:rFonts w:ascii="TimesNewRomanPSMT" w:eastAsiaTheme="minorHAnsi" w:hAnsi="TimesNewRomanPSMT" w:cs="TimesNewRomanPSMT"/>
          <w:color w:val="1A171B"/>
          <w:sz w:val="24"/>
          <w:szCs w:val="24"/>
          <w:lang w:eastAsia="en-US"/>
        </w:rPr>
        <w:t xml:space="preserve">икономическото </w:t>
      </w:r>
      <w:r>
        <w:rPr>
          <w:rFonts w:ascii="TimesNewRomanPSMT" w:eastAsiaTheme="minorHAnsi" w:hAnsi="TimesNewRomanPSMT" w:cs="TimesNewRomanPSMT"/>
          <w:color w:val="1A171B"/>
          <w:sz w:val="24"/>
          <w:szCs w:val="24"/>
          <w:lang w:eastAsia="en-US"/>
        </w:rPr>
        <w:lastRenderedPageBreak/>
        <w:t>развитие на територията, както и на изявените намерения представени на обществените обсъждания от потенциални кандидати и заинтересовани страни на територията на МИГ.</w:t>
      </w:r>
    </w:p>
    <w:p w:rsidR="00E37537" w:rsidRPr="00E1394E" w:rsidRDefault="00E37537" w:rsidP="00631570">
      <w:pPr>
        <w:widowControl/>
        <w:autoSpaceDE/>
        <w:autoSpaceDN/>
        <w:adjustRightInd/>
        <w:spacing w:line="276" w:lineRule="auto"/>
        <w:ind w:firstLine="567"/>
        <w:jc w:val="both"/>
        <w:rPr>
          <w:rFonts w:eastAsia="Times New Roman"/>
          <w:b/>
          <w:sz w:val="24"/>
          <w:szCs w:val="24"/>
          <w:lang w:eastAsia="en-US"/>
        </w:rPr>
      </w:pPr>
      <w:r w:rsidRPr="00E1394E">
        <w:rPr>
          <w:rFonts w:eastAsia="Times New Roman"/>
          <w:b/>
          <w:sz w:val="24"/>
          <w:szCs w:val="24"/>
          <w:lang w:eastAsia="en-US"/>
        </w:rPr>
        <w:t xml:space="preserve">Стратегията на ВОМР ще допринесе за постигането на хоризонталните приоритети на ПРСР и на оперативните програми (ОПИК, ОПРЧР) </w:t>
      </w:r>
      <w:r w:rsidRPr="00631570">
        <w:rPr>
          <w:rFonts w:eastAsia="Times New Roman"/>
          <w:b/>
          <w:sz w:val="24"/>
          <w:szCs w:val="24"/>
          <w:lang w:eastAsia="en-US"/>
        </w:rPr>
        <w:t>.</w:t>
      </w:r>
    </w:p>
    <w:p w:rsidR="00E37537" w:rsidRPr="00E1394E" w:rsidRDefault="00E37537" w:rsidP="00631570">
      <w:pPr>
        <w:widowControl/>
        <w:numPr>
          <w:ilvl w:val="0"/>
          <w:numId w:val="3"/>
        </w:numPr>
        <w:autoSpaceDE/>
        <w:autoSpaceDN/>
        <w:adjustRightInd/>
        <w:spacing w:line="276" w:lineRule="auto"/>
        <w:ind w:left="0" w:firstLine="567"/>
        <w:contextualSpacing/>
        <w:jc w:val="both"/>
        <w:rPr>
          <w:sz w:val="24"/>
          <w:szCs w:val="24"/>
        </w:rPr>
      </w:pPr>
      <w:r w:rsidRPr="00E1394E">
        <w:rPr>
          <w:sz w:val="24"/>
          <w:szCs w:val="24"/>
        </w:rPr>
        <w:t xml:space="preserve">насърчаване на иновациите в производството, организацията и управлението. </w:t>
      </w:r>
    </w:p>
    <w:p w:rsidR="00E37537" w:rsidRPr="00E1394E" w:rsidRDefault="00E37537" w:rsidP="00631570">
      <w:pPr>
        <w:widowControl/>
        <w:numPr>
          <w:ilvl w:val="0"/>
          <w:numId w:val="3"/>
        </w:numPr>
        <w:autoSpaceDE/>
        <w:autoSpaceDN/>
        <w:adjustRightInd/>
        <w:spacing w:line="276" w:lineRule="auto"/>
        <w:ind w:left="0" w:firstLine="567"/>
        <w:contextualSpacing/>
        <w:jc w:val="both"/>
        <w:rPr>
          <w:sz w:val="24"/>
          <w:szCs w:val="24"/>
        </w:rPr>
      </w:pPr>
      <w:r w:rsidRPr="00E1394E">
        <w:rPr>
          <w:sz w:val="24"/>
          <w:szCs w:val="24"/>
        </w:rPr>
        <w:t xml:space="preserve">приспособяване към климатичните промени; </w:t>
      </w:r>
    </w:p>
    <w:p w:rsidR="00E37537" w:rsidRPr="00E1394E" w:rsidRDefault="00E37537" w:rsidP="00631570">
      <w:pPr>
        <w:widowControl/>
        <w:numPr>
          <w:ilvl w:val="0"/>
          <w:numId w:val="3"/>
        </w:numPr>
        <w:autoSpaceDE/>
        <w:autoSpaceDN/>
        <w:adjustRightInd/>
        <w:spacing w:line="276" w:lineRule="auto"/>
        <w:ind w:left="0" w:firstLine="567"/>
        <w:contextualSpacing/>
        <w:jc w:val="both"/>
        <w:rPr>
          <w:sz w:val="24"/>
          <w:szCs w:val="24"/>
        </w:rPr>
      </w:pPr>
      <w:r w:rsidRPr="00E1394E">
        <w:rPr>
          <w:sz w:val="24"/>
          <w:szCs w:val="24"/>
        </w:rPr>
        <w:t xml:space="preserve">опазване и възстановяване на околната среда; </w:t>
      </w:r>
    </w:p>
    <w:p w:rsidR="00E37537" w:rsidRDefault="00E37537" w:rsidP="00631570">
      <w:pPr>
        <w:widowControl/>
        <w:spacing w:line="276" w:lineRule="auto"/>
        <w:ind w:firstLine="567"/>
        <w:jc w:val="both"/>
        <w:rPr>
          <w:rFonts w:eastAsiaTheme="minorHAnsi"/>
          <w:sz w:val="24"/>
          <w:szCs w:val="24"/>
          <w:lang w:eastAsia="en-US"/>
        </w:rPr>
      </w:pPr>
      <w:r w:rsidRPr="00E1394E">
        <w:rPr>
          <w:rFonts w:eastAsiaTheme="minorHAnsi"/>
          <w:sz w:val="24"/>
          <w:szCs w:val="24"/>
          <w:lang w:eastAsia="en-US"/>
        </w:rPr>
        <w:t xml:space="preserve">Стратегията е съобразена е с целите и приоритети на националните, регионални стратегически документи и с местните планове за развитие. </w:t>
      </w:r>
    </w:p>
    <w:p w:rsidR="00E37537" w:rsidRDefault="00E37537" w:rsidP="00631570">
      <w:pPr>
        <w:widowControl/>
        <w:spacing w:line="276" w:lineRule="auto"/>
        <w:ind w:firstLine="567"/>
        <w:rPr>
          <w:rFonts w:eastAsiaTheme="minorHAnsi"/>
          <w:sz w:val="24"/>
          <w:szCs w:val="24"/>
          <w:lang w:eastAsia="en-US"/>
        </w:rPr>
      </w:pPr>
    </w:p>
    <w:p w:rsidR="00E37537" w:rsidRPr="00E37537" w:rsidRDefault="00E37537" w:rsidP="00631570">
      <w:pPr>
        <w:widowControl/>
        <w:spacing w:line="276" w:lineRule="auto"/>
        <w:ind w:firstLine="567"/>
        <w:rPr>
          <w:rFonts w:eastAsiaTheme="minorHAnsi"/>
          <w:b/>
          <w:sz w:val="24"/>
          <w:szCs w:val="24"/>
          <w:lang w:eastAsia="en-US"/>
        </w:rPr>
      </w:pPr>
      <w:r w:rsidRPr="00E37537">
        <w:rPr>
          <w:rFonts w:eastAsiaTheme="minorHAnsi"/>
          <w:b/>
          <w:sz w:val="24"/>
          <w:szCs w:val="24"/>
          <w:lang w:eastAsia="en-US"/>
        </w:rPr>
        <w:t xml:space="preserve">Финансови средства на Стратегията </w:t>
      </w:r>
      <w:r w:rsidR="00631570">
        <w:rPr>
          <w:rFonts w:eastAsiaTheme="minorHAnsi"/>
          <w:b/>
          <w:sz w:val="24"/>
          <w:szCs w:val="24"/>
          <w:lang w:eastAsia="en-US"/>
        </w:rPr>
        <w:t xml:space="preserve">за </w:t>
      </w:r>
      <w:r w:rsidRPr="00E37537">
        <w:rPr>
          <w:rFonts w:eastAsiaTheme="minorHAnsi"/>
          <w:b/>
          <w:sz w:val="24"/>
          <w:szCs w:val="24"/>
          <w:lang w:eastAsia="en-US"/>
        </w:rPr>
        <w:t xml:space="preserve"> ВОМР</w:t>
      </w:r>
    </w:p>
    <w:p w:rsidR="00E37537" w:rsidRDefault="00E37537" w:rsidP="00631570">
      <w:pPr>
        <w:widowControl/>
        <w:spacing w:line="276" w:lineRule="auto"/>
        <w:ind w:firstLine="567"/>
        <w:rPr>
          <w:rFonts w:eastAsiaTheme="minorHAnsi"/>
          <w:sz w:val="24"/>
          <w:szCs w:val="24"/>
          <w:lang w:eastAsia="en-US"/>
        </w:rPr>
      </w:pPr>
    </w:p>
    <w:p w:rsidR="00E37537" w:rsidRDefault="00E37537" w:rsidP="00631570">
      <w:pPr>
        <w:spacing w:line="276" w:lineRule="auto"/>
        <w:ind w:firstLine="567"/>
        <w:jc w:val="both"/>
        <w:rPr>
          <w:rFonts w:eastAsia="Times New Roman"/>
          <w:b/>
          <w:sz w:val="24"/>
          <w:szCs w:val="24"/>
        </w:rPr>
      </w:pPr>
      <w:r>
        <w:rPr>
          <w:rFonts w:eastAsia="Times New Roman"/>
          <w:sz w:val="24"/>
          <w:szCs w:val="24"/>
          <w:shd w:val="clear" w:color="auto" w:fill="FEFEFE"/>
        </w:rPr>
        <w:t xml:space="preserve">Стратегията се финансира </w:t>
      </w:r>
      <w:proofErr w:type="spellStart"/>
      <w:r>
        <w:rPr>
          <w:rFonts w:eastAsia="Times New Roman"/>
          <w:sz w:val="24"/>
          <w:szCs w:val="24"/>
          <w:shd w:val="clear" w:color="auto" w:fill="FEFEFE"/>
        </w:rPr>
        <w:t>многофондово</w:t>
      </w:r>
      <w:proofErr w:type="spellEnd"/>
      <w:r>
        <w:rPr>
          <w:rFonts w:eastAsia="Times New Roman"/>
          <w:sz w:val="24"/>
          <w:szCs w:val="24"/>
          <w:shd w:val="clear" w:color="auto" w:fill="FEFEFE"/>
        </w:rPr>
        <w:t xml:space="preserve">, включени са възможности за проекти освен от ЕФЗРСР и от ЕСФ (ОПРЧР) , ЕФРР ( ОПИК и ОПОС).  </w:t>
      </w:r>
      <w:r w:rsidRPr="00E72A9D">
        <w:rPr>
          <w:sz w:val="24"/>
          <w:szCs w:val="24"/>
        </w:rPr>
        <w:t xml:space="preserve">Планираният бюджет по приоритети и мерки  на Стратегията отразява потребностите и изявения интерес на местната общност за подкрепа на целевата територия за областите на интервенция. </w:t>
      </w:r>
      <w:r w:rsidRPr="00C63027">
        <w:rPr>
          <w:rFonts w:eastAsia="Times New Roman"/>
          <w:sz w:val="24"/>
          <w:szCs w:val="24"/>
        </w:rPr>
        <w:t>Планираният размер на общия публичен принос от ПРСР в бюджета на С</w:t>
      </w:r>
      <w:r>
        <w:rPr>
          <w:rFonts w:eastAsia="Times New Roman"/>
          <w:sz w:val="24"/>
          <w:szCs w:val="24"/>
        </w:rPr>
        <w:t>ВОМР</w:t>
      </w:r>
      <w:r w:rsidRPr="00C63027">
        <w:rPr>
          <w:rFonts w:eastAsia="Times New Roman"/>
          <w:sz w:val="24"/>
          <w:szCs w:val="24"/>
        </w:rPr>
        <w:t xml:space="preserve"> на МИГ </w:t>
      </w:r>
      <w:r>
        <w:rPr>
          <w:rFonts w:eastAsia="Times New Roman"/>
          <w:sz w:val="24"/>
          <w:szCs w:val="24"/>
        </w:rPr>
        <w:t xml:space="preserve">„МКГ: </w:t>
      </w:r>
      <w:r w:rsidRPr="00E37537">
        <w:rPr>
          <w:rFonts w:eastAsia="Times New Roman"/>
          <w:sz w:val="24"/>
          <w:szCs w:val="24"/>
        </w:rPr>
        <w:t xml:space="preserve">е </w:t>
      </w:r>
      <w:r w:rsidRPr="00E37537">
        <w:rPr>
          <w:color w:val="000000"/>
          <w:sz w:val="24"/>
          <w:szCs w:val="24"/>
        </w:rPr>
        <w:t>6376006</w:t>
      </w:r>
      <w:r w:rsidRPr="005456A7">
        <w:rPr>
          <w:b/>
          <w:color w:val="000000"/>
          <w:sz w:val="24"/>
          <w:szCs w:val="24"/>
        </w:rPr>
        <w:t xml:space="preserve"> лв</w:t>
      </w:r>
      <w:r w:rsidRPr="005456A7">
        <w:rPr>
          <w:color w:val="000000"/>
          <w:sz w:val="24"/>
          <w:szCs w:val="24"/>
        </w:rPr>
        <w:t>.</w:t>
      </w:r>
      <w:r w:rsidRPr="005456A7">
        <w:rPr>
          <w:rFonts w:eastAsia="Times New Roman"/>
          <w:sz w:val="24"/>
          <w:szCs w:val="24"/>
        </w:rPr>
        <w:t xml:space="preserve"> или </w:t>
      </w:r>
      <w:r w:rsidRPr="00E37537">
        <w:rPr>
          <w:b/>
          <w:color w:val="000000"/>
          <w:sz w:val="24"/>
          <w:szCs w:val="24"/>
        </w:rPr>
        <w:t xml:space="preserve">3260000 </w:t>
      </w:r>
      <w:r w:rsidRPr="005456A7">
        <w:rPr>
          <w:rFonts w:eastAsia="Times New Roman"/>
          <w:sz w:val="24"/>
          <w:szCs w:val="24"/>
        </w:rPr>
        <w:t>евро.</w:t>
      </w:r>
      <w:r>
        <w:rPr>
          <w:rFonts w:eastAsia="Times New Roman"/>
          <w:sz w:val="24"/>
          <w:szCs w:val="24"/>
        </w:rPr>
        <w:t xml:space="preserve"> </w:t>
      </w:r>
      <w:r w:rsidRPr="00C63027">
        <w:rPr>
          <w:rFonts w:eastAsia="Times New Roman"/>
          <w:sz w:val="24"/>
          <w:szCs w:val="24"/>
        </w:rPr>
        <w:t>Бюджетът на С</w:t>
      </w:r>
      <w:r>
        <w:rPr>
          <w:rFonts w:eastAsia="Times New Roman"/>
          <w:sz w:val="24"/>
          <w:szCs w:val="24"/>
        </w:rPr>
        <w:t>тратегията е разпределен з</w:t>
      </w:r>
      <w:r w:rsidRPr="00C63027">
        <w:rPr>
          <w:rFonts w:eastAsia="Times New Roman"/>
          <w:sz w:val="24"/>
          <w:szCs w:val="24"/>
        </w:rPr>
        <w:t>а общо</w:t>
      </w:r>
      <w:r>
        <w:rPr>
          <w:rFonts w:eastAsia="Times New Roman"/>
          <w:sz w:val="24"/>
          <w:szCs w:val="24"/>
        </w:rPr>
        <w:t xml:space="preserve"> 10</w:t>
      </w:r>
      <w:r w:rsidRPr="00C63027">
        <w:rPr>
          <w:rFonts w:eastAsia="Times New Roman"/>
          <w:sz w:val="24"/>
          <w:szCs w:val="24"/>
        </w:rPr>
        <w:t xml:space="preserve"> мерки</w:t>
      </w:r>
      <w:r>
        <w:rPr>
          <w:rFonts w:eastAsia="Times New Roman"/>
          <w:sz w:val="24"/>
          <w:szCs w:val="24"/>
        </w:rPr>
        <w:t xml:space="preserve">, от които </w:t>
      </w:r>
      <w:r w:rsidRPr="00E37537">
        <w:rPr>
          <w:rFonts w:eastAsia="Times New Roman"/>
          <w:b/>
          <w:sz w:val="24"/>
          <w:szCs w:val="24"/>
        </w:rPr>
        <w:t>5 по  ПРСР, 2 мерки по ОПИК, 3 от ОПРЧР</w:t>
      </w:r>
      <w:r>
        <w:rPr>
          <w:rFonts w:eastAsia="Times New Roman"/>
          <w:sz w:val="24"/>
          <w:szCs w:val="24"/>
        </w:rPr>
        <w:t xml:space="preserve">. </w:t>
      </w:r>
      <w:r w:rsidRPr="00E37537">
        <w:rPr>
          <w:rFonts w:eastAsia="Times New Roman"/>
          <w:b/>
          <w:sz w:val="24"/>
          <w:szCs w:val="24"/>
        </w:rPr>
        <w:t xml:space="preserve">Частните инвестиционни проекти са за </w:t>
      </w:r>
      <w:r w:rsidRPr="00E37537">
        <w:rPr>
          <w:b/>
          <w:color w:val="000000"/>
          <w:sz w:val="24"/>
          <w:szCs w:val="24"/>
        </w:rPr>
        <w:t xml:space="preserve">5132260.8 </w:t>
      </w:r>
      <w:r w:rsidRPr="00E37537">
        <w:rPr>
          <w:rFonts w:eastAsia="Times New Roman"/>
          <w:b/>
          <w:sz w:val="24"/>
          <w:szCs w:val="24"/>
        </w:rPr>
        <w:t xml:space="preserve">лв. а за публичните проекти  инвестицията е </w:t>
      </w:r>
      <w:r w:rsidRPr="00E37537">
        <w:rPr>
          <w:b/>
          <w:color w:val="000000"/>
          <w:sz w:val="24"/>
          <w:szCs w:val="24"/>
        </w:rPr>
        <w:t>1243745 лв.</w:t>
      </w:r>
      <w:r w:rsidRPr="00E37537">
        <w:rPr>
          <w:rFonts w:eastAsia="Times New Roman"/>
          <w:b/>
          <w:sz w:val="24"/>
          <w:szCs w:val="24"/>
        </w:rPr>
        <w:t xml:space="preserve">  </w:t>
      </w:r>
    </w:p>
    <w:p w:rsidR="00631570" w:rsidRPr="009808A4" w:rsidRDefault="00631570" w:rsidP="00631570">
      <w:pPr>
        <w:widowControl/>
        <w:spacing w:line="276" w:lineRule="auto"/>
        <w:ind w:firstLine="567"/>
        <w:jc w:val="both"/>
        <w:rPr>
          <w:rFonts w:eastAsiaTheme="minorHAnsi"/>
          <w:sz w:val="24"/>
          <w:szCs w:val="24"/>
          <w:lang w:eastAsia="en-US"/>
        </w:rPr>
      </w:pPr>
      <w:r w:rsidRPr="009808A4">
        <w:rPr>
          <w:rFonts w:eastAsia="Times New Roman"/>
          <w:sz w:val="24"/>
          <w:szCs w:val="24"/>
          <w:lang w:eastAsia="pl-PL"/>
        </w:rPr>
        <w:t xml:space="preserve">Стратегията на МИГ „МКГ“ осигурява съгласуване с дейностите, политиките и приоритетите от други финансови инструменти на Общността. </w:t>
      </w:r>
      <w:proofErr w:type="spellStart"/>
      <w:r w:rsidRPr="009808A4">
        <w:rPr>
          <w:rFonts w:eastAsiaTheme="minorHAnsi"/>
          <w:sz w:val="24"/>
          <w:szCs w:val="24"/>
          <w:lang w:eastAsia="en-US"/>
        </w:rPr>
        <w:t>Синергията</w:t>
      </w:r>
      <w:proofErr w:type="spellEnd"/>
      <w:r w:rsidRPr="009808A4">
        <w:rPr>
          <w:rFonts w:eastAsiaTheme="minorHAnsi"/>
          <w:sz w:val="24"/>
          <w:szCs w:val="24"/>
          <w:lang w:eastAsia="en-US"/>
        </w:rPr>
        <w:t xml:space="preserve"> между Стратегията и оперативните програми, са представени чрез разписаните цели,приоритети и мерки, които ще се финансират </w:t>
      </w:r>
      <w:proofErr w:type="spellStart"/>
      <w:r w:rsidRPr="009808A4">
        <w:rPr>
          <w:rFonts w:eastAsiaTheme="minorHAnsi"/>
          <w:sz w:val="24"/>
          <w:szCs w:val="24"/>
          <w:lang w:eastAsia="en-US"/>
        </w:rPr>
        <w:t>многофондово</w:t>
      </w:r>
      <w:proofErr w:type="spellEnd"/>
      <w:r w:rsidRPr="009808A4">
        <w:rPr>
          <w:rFonts w:eastAsiaTheme="minorHAnsi"/>
          <w:sz w:val="24"/>
          <w:szCs w:val="24"/>
          <w:lang w:eastAsia="en-US"/>
        </w:rPr>
        <w:t xml:space="preserve">. Дейности по съживяване на територията в.т.ч.развитие на устойчив бизнес,на динамична жизнена среда се финансират от ЕЗФРСР. Повишаване на капацитета на МСП и осигуряване на заетост, чрез технологично обновяване и иновации (дейности по ОПИК). </w:t>
      </w:r>
      <w:r w:rsidRPr="009808A4">
        <w:rPr>
          <w:rFonts w:eastAsia="Times New Roman"/>
          <w:sz w:val="24"/>
          <w:szCs w:val="24"/>
          <w:lang w:eastAsia="pl-PL"/>
        </w:rPr>
        <w:t xml:space="preserve">В Стратегията са адресирани приоритети към </w:t>
      </w:r>
      <w:r w:rsidRPr="009808A4">
        <w:rPr>
          <w:rFonts w:eastAsiaTheme="minorHAnsi"/>
          <w:sz w:val="24"/>
          <w:szCs w:val="24"/>
          <w:lang w:eastAsia="en-US"/>
        </w:rPr>
        <w:t xml:space="preserve">повишаване на квалификацията,интеграция на социално изключените лица до пазара на труда.(дейности по ОПРЧР). Връзката с ОПОС е по отношение на приоритетите: изграждане на по-конкурентоспособна </w:t>
      </w:r>
      <w:proofErr w:type="spellStart"/>
      <w:r w:rsidRPr="009808A4">
        <w:rPr>
          <w:rFonts w:eastAsiaTheme="minorHAnsi"/>
          <w:sz w:val="24"/>
          <w:szCs w:val="24"/>
          <w:lang w:eastAsia="en-US"/>
        </w:rPr>
        <w:t>нисковъглеродна</w:t>
      </w:r>
      <w:proofErr w:type="spellEnd"/>
      <w:r w:rsidRPr="009808A4">
        <w:rPr>
          <w:rFonts w:eastAsiaTheme="minorHAnsi"/>
          <w:sz w:val="24"/>
          <w:szCs w:val="24"/>
          <w:lang w:eastAsia="en-US"/>
        </w:rPr>
        <w:t xml:space="preserve"> икономика, в която ресурсите се използват по ефикасен и устойчив начин; опазване на околната среда, намаляване на емисиите и предотвратяване на загубата на биоразнообразие.  </w:t>
      </w:r>
    </w:p>
    <w:p w:rsidR="00592FF2" w:rsidRDefault="00592FF2" w:rsidP="00631570">
      <w:pPr>
        <w:widowControl/>
        <w:spacing w:line="276" w:lineRule="auto"/>
        <w:ind w:firstLine="567"/>
        <w:rPr>
          <w:rFonts w:eastAsiaTheme="minorHAnsi"/>
          <w:b/>
          <w:bCs/>
          <w:sz w:val="23"/>
          <w:szCs w:val="23"/>
          <w:lang w:eastAsia="en-US"/>
        </w:rPr>
      </w:pPr>
    </w:p>
    <w:p w:rsidR="008A221C" w:rsidRPr="00E37537" w:rsidRDefault="008A221C" w:rsidP="00631570">
      <w:pPr>
        <w:widowControl/>
        <w:spacing w:line="276" w:lineRule="auto"/>
        <w:ind w:firstLine="567"/>
        <w:rPr>
          <w:rFonts w:eastAsiaTheme="minorHAnsi"/>
          <w:b/>
          <w:bCs/>
          <w:sz w:val="23"/>
          <w:szCs w:val="23"/>
          <w:lang w:eastAsia="en-US"/>
        </w:rPr>
      </w:pPr>
      <w:r>
        <w:rPr>
          <w:rFonts w:eastAsiaTheme="minorHAnsi"/>
          <w:b/>
          <w:bCs/>
          <w:sz w:val="23"/>
          <w:szCs w:val="23"/>
          <w:lang w:eastAsia="en-US"/>
        </w:rPr>
        <w:t xml:space="preserve">Стратегията е приета с Решение № 122/27.05.2016 г. по Протокол № 9 на </w:t>
      </w:r>
      <w:proofErr w:type="spellStart"/>
      <w:r>
        <w:rPr>
          <w:rFonts w:eastAsiaTheme="minorHAnsi"/>
          <w:b/>
          <w:bCs/>
          <w:sz w:val="23"/>
          <w:szCs w:val="23"/>
          <w:lang w:eastAsia="en-US"/>
        </w:rPr>
        <w:t>ОбС</w:t>
      </w:r>
      <w:proofErr w:type="spellEnd"/>
      <w:r>
        <w:rPr>
          <w:rFonts w:eastAsiaTheme="minorHAnsi"/>
          <w:b/>
          <w:bCs/>
          <w:sz w:val="23"/>
          <w:szCs w:val="23"/>
          <w:lang w:eastAsia="en-US"/>
        </w:rPr>
        <w:t xml:space="preserve"> – Гурково.</w:t>
      </w:r>
      <w:bookmarkStart w:id="0" w:name="_GoBack"/>
      <w:bookmarkEnd w:id="0"/>
    </w:p>
    <w:sectPr w:rsidR="008A221C" w:rsidRPr="00E37537" w:rsidSect="00FC05F4">
      <w:headerReference w:type="default" r:id="rId11"/>
      <w:footerReference w:type="default" r:id="rId1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D67B7" w:rsidRDefault="009D67B7" w:rsidP="005C02AE">
      <w:r>
        <w:separator/>
      </w:r>
    </w:p>
  </w:endnote>
  <w:endnote w:type="continuationSeparator" w:id="0">
    <w:p w:rsidR="009D67B7" w:rsidRDefault="009D67B7" w:rsidP="005C02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Arial,Bol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203" w:usb1="00000000" w:usb2="00000000" w:usb3="00000000" w:csb0="00000005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4BF3" w:rsidRDefault="00EB4BF3">
    <w:pPr>
      <w:pStyle w:val="a7"/>
      <w:pBdr>
        <w:top w:val="thinThickSmallGap" w:sz="24" w:space="1" w:color="622423" w:themeColor="accent2" w:themeShade="7F"/>
      </w:pBdr>
      <w:rPr>
        <w:rFonts w:asciiTheme="majorHAnsi" w:eastAsiaTheme="majorEastAsia" w:hAnsiTheme="majorHAnsi" w:cstheme="majorBidi"/>
      </w:rPr>
    </w:pPr>
    <w:r>
      <w:rPr>
        <w:rFonts w:ascii="Calibri" w:hAnsi="Calibri"/>
        <w:i/>
        <w:iCs/>
        <w:sz w:val="16"/>
        <w:szCs w:val="16"/>
        <w:lang w:val="en-US"/>
      </w:rPr>
      <w:t>Т</w:t>
    </w:r>
    <w:r>
      <w:rPr>
        <w:rFonts w:ascii="Calibri" w:hAnsi="Calibri"/>
        <w:i/>
        <w:iCs/>
        <w:sz w:val="16"/>
        <w:szCs w:val="16"/>
      </w:rPr>
      <w:t>о</w:t>
    </w:r>
    <w:proofErr w:type="spellStart"/>
    <w:r>
      <w:rPr>
        <w:rFonts w:ascii="Calibri" w:hAnsi="Calibri"/>
        <w:i/>
        <w:iCs/>
        <w:sz w:val="16"/>
        <w:szCs w:val="16"/>
        <w:lang w:val="en-US"/>
      </w:rPr>
      <w:t>зи</w:t>
    </w:r>
    <w:proofErr w:type="spellEnd"/>
    <w:r>
      <w:rPr>
        <w:rFonts w:ascii="Calibri" w:hAnsi="Calibri"/>
        <w:i/>
        <w:iCs/>
        <w:sz w:val="16"/>
        <w:szCs w:val="16"/>
        <w:lang w:val="en-US"/>
      </w:rPr>
      <w:t xml:space="preserve"> </w:t>
    </w:r>
    <w:r>
      <w:rPr>
        <w:rFonts w:ascii="Calibri" w:hAnsi="Calibri"/>
        <w:i/>
        <w:iCs/>
        <w:sz w:val="16"/>
        <w:szCs w:val="16"/>
      </w:rPr>
      <w:t xml:space="preserve">документ </w:t>
    </w:r>
    <w:r>
      <w:rPr>
        <w:rFonts w:ascii="Calibri" w:hAnsi="Calibri"/>
        <w:i/>
        <w:iCs/>
        <w:sz w:val="16"/>
        <w:szCs w:val="16"/>
        <w:lang w:val="en-US"/>
      </w:rPr>
      <w:t xml:space="preserve">е </w:t>
    </w:r>
    <w:proofErr w:type="spellStart"/>
    <w:r>
      <w:rPr>
        <w:rFonts w:ascii="Calibri" w:hAnsi="Calibri"/>
        <w:i/>
        <w:iCs/>
        <w:sz w:val="16"/>
        <w:szCs w:val="16"/>
        <w:lang w:val="en-US"/>
      </w:rPr>
      <w:t>създаден</w:t>
    </w:r>
    <w:proofErr w:type="spellEnd"/>
    <w:r>
      <w:rPr>
        <w:rFonts w:ascii="Calibri" w:hAnsi="Calibri"/>
        <w:i/>
        <w:iCs/>
        <w:sz w:val="16"/>
        <w:szCs w:val="16"/>
        <w:lang w:val="en-US"/>
      </w:rPr>
      <w:t xml:space="preserve"> </w:t>
    </w:r>
    <w:proofErr w:type="spellStart"/>
    <w:r>
      <w:rPr>
        <w:rFonts w:ascii="Calibri" w:hAnsi="Calibri"/>
        <w:i/>
        <w:iCs/>
        <w:sz w:val="16"/>
        <w:szCs w:val="16"/>
        <w:lang w:val="en-US"/>
      </w:rPr>
      <w:t>във</w:t>
    </w:r>
    <w:proofErr w:type="spellEnd"/>
    <w:r>
      <w:rPr>
        <w:rFonts w:ascii="Calibri" w:hAnsi="Calibri"/>
        <w:i/>
        <w:iCs/>
        <w:sz w:val="16"/>
        <w:szCs w:val="16"/>
        <w:lang w:val="en-US"/>
      </w:rPr>
      <w:t xml:space="preserve"> </w:t>
    </w:r>
    <w:proofErr w:type="spellStart"/>
    <w:r>
      <w:rPr>
        <w:rFonts w:ascii="Calibri" w:hAnsi="Calibri"/>
        <w:i/>
        <w:iCs/>
        <w:sz w:val="16"/>
        <w:szCs w:val="16"/>
        <w:lang w:val="en-US"/>
      </w:rPr>
      <w:t>връзка</w:t>
    </w:r>
    <w:proofErr w:type="spellEnd"/>
    <w:r>
      <w:rPr>
        <w:rFonts w:ascii="Calibri" w:hAnsi="Calibri"/>
        <w:i/>
        <w:iCs/>
        <w:sz w:val="16"/>
        <w:szCs w:val="16"/>
        <w:lang w:val="en-US"/>
      </w:rPr>
      <w:t xml:space="preserve"> с </w:t>
    </w:r>
    <w:proofErr w:type="spellStart"/>
    <w:r>
      <w:rPr>
        <w:rFonts w:ascii="Calibri" w:hAnsi="Calibri"/>
        <w:i/>
        <w:iCs/>
        <w:sz w:val="16"/>
        <w:szCs w:val="16"/>
        <w:lang w:val="en-US"/>
      </w:rPr>
      <w:t>изпълнението</w:t>
    </w:r>
    <w:proofErr w:type="spellEnd"/>
    <w:r>
      <w:rPr>
        <w:rFonts w:ascii="Calibri" w:hAnsi="Calibri"/>
        <w:i/>
        <w:iCs/>
        <w:sz w:val="16"/>
        <w:szCs w:val="16"/>
        <w:lang w:val="en-US"/>
      </w:rPr>
      <w:t xml:space="preserve"> </w:t>
    </w:r>
    <w:r>
      <w:rPr>
        <w:rFonts w:ascii="Calibri" w:hAnsi="Calibri"/>
        <w:i/>
        <w:iCs/>
        <w:sz w:val="16"/>
        <w:szCs w:val="16"/>
      </w:rPr>
      <w:t>на проект</w:t>
    </w:r>
    <w:r>
      <w:rPr>
        <w:rFonts w:ascii="Calibri" w:hAnsi="Calibri"/>
        <w:i/>
        <w:iCs/>
        <w:sz w:val="16"/>
        <w:szCs w:val="16"/>
        <w:lang w:val="en-US"/>
      </w:rPr>
      <w:t xml:space="preserve"> </w:t>
    </w:r>
    <w:proofErr w:type="spellStart"/>
    <w:r>
      <w:rPr>
        <w:rFonts w:ascii="Calibri" w:hAnsi="Calibri"/>
        <w:i/>
        <w:iCs/>
        <w:sz w:val="16"/>
        <w:szCs w:val="16"/>
        <w:lang w:val="en-US"/>
      </w:rPr>
      <w:t>по</w:t>
    </w:r>
    <w:proofErr w:type="spellEnd"/>
    <w:r>
      <w:rPr>
        <w:rFonts w:ascii="Calibri" w:hAnsi="Calibri"/>
        <w:i/>
        <w:iCs/>
        <w:sz w:val="16"/>
        <w:szCs w:val="16"/>
        <w:lang w:val="en-US"/>
      </w:rPr>
      <w:t xml:space="preserve"> </w:t>
    </w:r>
    <w:proofErr w:type="spellStart"/>
    <w:r>
      <w:rPr>
        <w:rFonts w:ascii="Calibri" w:hAnsi="Calibri"/>
        <w:i/>
        <w:iCs/>
        <w:sz w:val="16"/>
        <w:szCs w:val="16"/>
        <w:lang w:val="en-US"/>
      </w:rPr>
      <w:t>подмярка</w:t>
    </w:r>
    <w:proofErr w:type="spellEnd"/>
    <w:r>
      <w:rPr>
        <w:rFonts w:ascii="Calibri" w:hAnsi="Calibri"/>
        <w:i/>
        <w:iCs/>
        <w:sz w:val="16"/>
        <w:szCs w:val="16"/>
        <w:lang w:val="en-US"/>
      </w:rPr>
      <w:t xml:space="preserve"> 19.1 „</w:t>
    </w:r>
    <w:proofErr w:type="spellStart"/>
    <w:r>
      <w:rPr>
        <w:rFonts w:ascii="Calibri" w:hAnsi="Calibri"/>
        <w:i/>
        <w:iCs/>
        <w:sz w:val="16"/>
        <w:szCs w:val="16"/>
        <w:lang w:val="en-US"/>
      </w:rPr>
      <w:t>Помощ</w:t>
    </w:r>
    <w:proofErr w:type="spellEnd"/>
    <w:r>
      <w:rPr>
        <w:rFonts w:ascii="Calibri" w:hAnsi="Calibri"/>
        <w:i/>
        <w:iCs/>
        <w:sz w:val="16"/>
        <w:szCs w:val="16"/>
        <w:lang w:val="en-US"/>
      </w:rPr>
      <w:t xml:space="preserve"> </w:t>
    </w:r>
    <w:proofErr w:type="spellStart"/>
    <w:r>
      <w:rPr>
        <w:rFonts w:ascii="Calibri" w:hAnsi="Calibri"/>
        <w:i/>
        <w:iCs/>
        <w:sz w:val="16"/>
        <w:szCs w:val="16"/>
        <w:lang w:val="en-US"/>
      </w:rPr>
      <w:t>за</w:t>
    </w:r>
    <w:proofErr w:type="spellEnd"/>
    <w:r>
      <w:rPr>
        <w:rFonts w:ascii="Calibri" w:hAnsi="Calibri"/>
        <w:i/>
        <w:iCs/>
        <w:sz w:val="16"/>
        <w:szCs w:val="16"/>
        <w:lang w:val="en-US"/>
      </w:rPr>
      <w:t xml:space="preserve"> </w:t>
    </w:r>
    <w:proofErr w:type="spellStart"/>
    <w:r>
      <w:rPr>
        <w:rFonts w:ascii="Calibri" w:hAnsi="Calibri"/>
        <w:i/>
        <w:iCs/>
        <w:sz w:val="16"/>
        <w:szCs w:val="16"/>
        <w:lang w:val="en-US"/>
      </w:rPr>
      <w:t>подготвителни</w:t>
    </w:r>
    <w:proofErr w:type="spellEnd"/>
    <w:r>
      <w:rPr>
        <w:rFonts w:ascii="Calibri" w:hAnsi="Calibri"/>
        <w:i/>
        <w:iCs/>
        <w:sz w:val="16"/>
        <w:szCs w:val="16"/>
        <w:lang w:val="en-US"/>
      </w:rPr>
      <w:t xml:space="preserve"> </w:t>
    </w:r>
    <w:proofErr w:type="spellStart"/>
    <w:r>
      <w:rPr>
        <w:rFonts w:ascii="Calibri" w:hAnsi="Calibri"/>
        <w:i/>
        <w:iCs/>
        <w:sz w:val="16"/>
        <w:szCs w:val="16"/>
        <w:lang w:val="en-US"/>
      </w:rPr>
      <w:t>дейности</w:t>
    </w:r>
    <w:proofErr w:type="spellEnd"/>
    <w:r>
      <w:rPr>
        <w:rFonts w:ascii="Calibri" w:hAnsi="Calibri"/>
        <w:i/>
        <w:iCs/>
        <w:sz w:val="16"/>
        <w:szCs w:val="16"/>
        <w:lang w:val="en-US"/>
      </w:rPr>
      <w:t xml:space="preserve">“ </w:t>
    </w:r>
    <w:proofErr w:type="spellStart"/>
    <w:r>
      <w:rPr>
        <w:rFonts w:ascii="Calibri" w:hAnsi="Calibri"/>
        <w:i/>
        <w:iCs/>
        <w:sz w:val="16"/>
        <w:szCs w:val="16"/>
        <w:lang w:val="en-US"/>
      </w:rPr>
      <w:t>на</w:t>
    </w:r>
    <w:proofErr w:type="spellEnd"/>
    <w:r>
      <w:rPr>
        <w:rFonts w:ascii="Calibri" w:hAnsi="Calibri"/>
        <w:i/>
        <w:iCs/>
        <w:sz w:val="16"/>
        <w:szCs w:val="16"/>
        <w:lang w:val="en-US"/>
      </w:rPr>
      <w:t xml:space="preserve"> </w:t>
    </w:r>
    <w:proofErr w:type="spellStart"/>
    <w:r>
      <w:rPr>
        <w:rFonts w:ascii="Calibri" w:hAnsi="Calibri"/>
        <w:i/>
        <w:iCs/>
        <w:sz w:val="16"/>
        <w:szCs w:val="16"/>
        <w:lang w:val="en-US"/>
      </w:rPr>
      <w:t>мярка</w:t>
    </w:r>
    <w:proofErr w:type="spellEnd"/>
    <w:r>
      <w:rPr>
        <w:rFonts w:ascii="Calibri" w:hAnsi="Calibri"/>
        <w:i/>
        <w:iCs/>
        <w:sz w:val="16"/>
        <w:szCs w:val="16"/>
        <w:lang w:val="en-US"/>
      </w:rPr>
      <w:t xml:space="preserve"> 19 „</w:t>
    </w:r>
    <w:proofErr w:type="spellStart"/>
    <w:r>
      <w:rPr>
        <w:rFonts w:ascii="Calibri" w:hAnsi="Calibri"/>
        <w:i/>
        <w:iCs/>
        <w:sz w:val="16"/>
        <w:szCs w:val="16"/>
        <w:lang w:val="en-US"/>
      </w:rPr>
      <w:t>Водено</w:t>
    </w:r>
    <w:proofErr w:type="spellEnd"/>
    <w:r>
      <w:rPr>
        <w:rFonts w:ascii="Calibri" w:hAnsi="Calibri"/>
        <w:i/>
        <w:iCs/>
        <w:sz w:val="16"/>
        <w:szCs w:val="16"/>
        <w:lang w:val="en-US"/>
      </w:rPr>
      <w:t xml:space="preserve"> </w:t>
    </w:r>
    <w:proofErr w:type="spellStart"/>
    <w:r>
      <w:rPr>
        <w:rFonts w:ascii="Calibri" w:hAnsi="Calibri"/>
        <w:i/>
        <w:iCs/>
        <w:sz w:val="16"/>
        <w:szCs w:val="16"/>
        <w:lang w:val="en-US"/>
      </w:rPr>
      <w:t>от</w:t>
    </w:r>
    <w:proofErr w:type="spellEnd"/>
    <w:r>
      <w:rPr>
        <w:rFonts w:ascii="Calibri" w:hAnsi="Calibri"/>
        <w:i/>
        <w:iCs/>
        <w:sz w:val="16"/>
        <w:szCs w:val="16"/>
        <w:lang w:val="en-US"/>
      </w:rPr>
      <w:t xml:space="preserve"> </w:t>
    </w:r>
    <w:proofErr w:type="spellStart"/>
    <w:r>
      <w:rPr>
        <w:rFonts w:ascii="Calibri" w:hAnsi="Calibri"/>
        <w:i/>
        <w:iCs/>
        <w:sz w:val="16"/>
        <w:szCs w:val="16"/>
        <w:lang w:val="en-US"/>
      </w:rPr>
      <w:t>общностите</w:t>
    </w:r>
    <w:proofErr w:type="spellEnd"/>
    <w:r>
      <w:rPr>
        <w:rFonts w:ascii="Calibri" w:hAnsi="Calibri"/>
        <w:i/>
        <w:iCs/>
        <w:sz w:val="16"/>
        <w:szCs w:val="16"/>
        <w:lang w:val="en-US"/>
      </w:rPr>
      <w:t xml:space="preserve"> </w:t>
    </w:r>
    <w:proofErr w:type="spellStart"/>
    <w:r>
      <w:rPr>
        <w:rFonts w:ascii="Calibri" w:hAnsi="Calibri"/>
        <w:i/>
        <w:iCs/>
        <w:sz w:val="16"/>
        <w:szCs w:val="16"/>
        <w:lang w:val="en-US"/>
      </w:rPr>
      <w:t>местно</w:t>
    </w:r>
    <w:proofErr w:type="spellEnd"/>
    <w:r>
      <w:rPr>
        <w:rFonts w:ascii="Calibri" w:hAnsi="Calibri"/>
        <w:i/>
        <w:iCs/>
        <w:sz w:val="16"/>
        <w:szCs w:val="16"/>
        <w:lang w:val="en-US"/>
      </w:rPr>
      <w:t xml:space="preserve"> </w:t>
    </w:r>
    <w:proofErr w:type="spellStart"/>
    <w:r>
      <w:rPr>
        <w:rFonts w:ascii="Calibri" w:hAnsi="Calibri"/>
        <w:i/>
        <w:iCs/>
        <w:sz w:val="16"/>
        <w:szCs w:val="16"/>
        <w:lang w:val="en-US"/>
      </w:rPr>
      <w:t>развитие</w:t>
    </w:r>
    <w:proofErr w:type="spellEnd"/>
    <w:r>
      <w:rPr>
        <w:rFonts w:ascii="Calibri" w:hAnsi="Calibri"/>
        <w:i/>
        <w:iCs/>
        <w:sz w:val="16"/>
        <w:szCs w:val="16"/>
        <w:lang w:val="en-US"/>
      </w:rPr>
      <w:t xml:space="preserve">" </w:t>
    </w:r>
    <w:proofErr w:type="spellStart"/>
    <w:r>
      <w:rPr>
        <w:rFonts w:ascii="Calibri" w:hAnsi="Calibri"/>
        <w:i/>
        <w:iCs/>
        <w:sz w:val="16"/>
        <w:szCs w:val="16"/>
        <w:lang w:val="en-US"/>
      </w:rPr>
      <w:t>от</w:t>
    </w:r>
    <w:proofErr w:type="spellEnd"/>
    <w:r>
      <w:rPr>
        <w:rFonts w:ascii="Calibri" w:hAnsi="Calibri"/>
        <w:i/>
        <w:iCs/>
        <w:sz w:val="16"/>
        <w:szCs w:val="16"/>
        <w:lang w:val="en-US"/>
      </w:rPr>
      <w:t xml:space="preserve"> ПРСР 2014–2020, </w:t>
    </w:r>
    <w:proofErr w:type="spellStart"/>
    <w:r>
      <w:rPr>
        <w:rFonts w:ascii="Calibri" w:hAnsi="Calibri"/>
        <w:i/>
        <w:iCs/>
        <w:sz w:val="16"/>
        <w:szCs w:val="16"/>
        <w:lang w:val="en-US"/>
      </w:rPr>
      <w:t>съфинансирана</w:t>
    </w:r>
    <w:proofErr w:type="spellEnd"/>
    <w:r>
      <w:rPr>
        <w:rFonts w:ascii="Calibri" w:hAnsi="Calibri"/>
        <w:i/>
        <w:iCs/>
        <w:sz w:val="16"/>
        <w:szCs w:val="16"/>
        <w:lang w:val="en-US"/>
      </w:rPr>
      <w:t xml:space="preserve"> </w:t>
    </w:r>
    <w:proofErr w:type="spellStart"/>
    <w:r>
      <w:rPr>
        <w:rFonts w:ascii="Calibri" w:hAnsi="Calibri"/>
        <w:i/>
        <w:iCs/>
        <w:sz w:val="16"/>
        <w:szCs w:val="16"/>
        <w:lang w:val="en-US"/>
      </w:rPr>
      <w:t>от</w:t>
    </w:r>
    <w:proofErr w:type="spellEnd"/>
    <w:r>
      <w:rPr>
        <w:rFonts w:ascii="Calibri" w:hAnsi="Calibri"/>
        <w:i/>
        <w:iCs/>
        <w:sz w:val="16"/>
        <w:szCs w:val="16"/>
        <w:lang w:val="en-US"/>
      </w:rPr>
      <w:t xml:space="preserve"> ЕЗФРСР</w:t>
    </w:r>
    <w:r>
      <w:rPr>
        <w:rFonts w:asciiTheme="majorHAnsi" w:eastAsiaTheme="majorEastAsia" w:hAnsiTheme="majorHAnsi" w:cstheme="majorBidi"/>
      </w:rPr>
      <w:ptab w:relativeTo="margin" w:alignment="right" w:leader="none"/>
    </w:r>
    <w:proofErr w:type="spellStart"/>
    <w:r>
      <w:rPr>
        <w:rFonts w:asciiTheme="majorHAnsi" w:eastAsiaTheme="majorEastAsia" w:hAnsiTheme="majorHAnsi" w:cstheme="majorBidi"/>
      </w:rPr>
      <w:t>Page</w:t>
    </w:r>
    <w:proofErr w:type="spellEnd"/>
    <w:r>
      <w:rPr>
        <w:rFonts w:asciiTheme="majorHAnsi" w:eastAsiaTheme="majorEastAsia" w:hAnsiTheme="majorHAnsi" w:cstheme="majorBidi"/>
      </w:rPr>
      <w:t xml:space="preserve"> </w:t>
    </w:r>
    <w:r w:rsidR="00FC05F4">
      <w:rPr>
        <w:rFonts w:asciiTheme="minorHAnsi" w:hAnsiTheme="minorHAnsi" w:cstheme="minorBidi"/>
      </w:rPr>
      <w:fldChar w:fldCharType="begin"/>
    </w:r>
    <w:r>
      <w:instrText xml:space="preserve"> PAGE   \* MERGEFORMAT </w:instrText>
    </w:r>
    <w:r w:rsidR="00FC05F4">
      <w:rPr>
        <w:rFonts w:asciiTheme="minorHAnsi" w:hAnsiTheme="minorHAnsi" w:cstheme="minorBidi"/>
      </w:rPr>
      <w:fldChar w:fldCharType="separate"/>
    </w:r>
    <w:r w:rsidR="008A221C" w:rsidRPr="008A221C">
      <w:rPr>
        <w:rFonts w:asciiTheme="majorHAnsi" w:eastAsiaTheme="majorEastAsia" w:hAnsiTheme="majorHAnsi" w:cstheme="majorBidi"/>
        <w:noProof/>
      </w:rPr>
      <w:t>10</w:t>
    </w:r>
    <w:r w:rsidR="00FC05F4">
      <w:rPr>
        <w:rFonts w:asciiTheme="majorHAnsi" w:eastAsiaTheme="majorEastAsia" w:hAnsiTheme="majorHAnsi" w:cstheme="majorBidi"/>
        <w:noProof/>
      </w:rPr>
      <w:fldChar w:fldCharType="end"/>
    </w:r>
  </w:p>
  <w:p w:rsidR="00EB4BF3" w:rsidRDefault="00EB4BF3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D67B7" w:rsidRDefault="009D67B7" w:rsidP="005C02AE">
      <w:r>
        <w:separator/>
      </w:r>
    </w:p>
  </w:footnote>
  <w:footnote w:type="continuationSeparator" w:id="0">
    <w:p w:rsidR="009D67B7" w:rsidRDefault="009D67B7" w:rsidP="005C02A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02AE" w:rsidRPr="005C02AE" w:rsidRDefault="005C02AE" w:rsidP="005C02AE">
    <w:pPr>
      <w:pStyle w:val="a5"/>
    </w:pPr>
    <w:r>
      <w:rPr>
        <w:noProof/>
      </w:rPr>
      <w:drawing>
        <wp:inline distT="0" distB="0" distL="0" distR="0">
          <wp:extent cx="5731510" cy="986481"/>
          <wp:effectExtent l="0" t="0" r="0" b="0"/>
          <wp:docPr id="4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3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31510" cy="986481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  <a:extLst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692E2E"/>
    <w:multiLevelType w:val="hybridMultilevel"/>
    <w:tmpl w:val="8A2C310E"/>
    <w:lvl w:ilvl="0" w:tplc="B6964710">
      <w:start w:val="47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sz w:val="24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76C4E03"/>
    <w:multiLevelType w:val="hybridMultilevel"/>
    <w:tmpl w:val="83A02B62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3790DC7"/>
    <w:multiLevelType w:val="hybridMultilevel"/>
    <w:tmpl w:val="56E277F8"/>
    <w:lvl w:ilvl="0" w:tplc="0402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A44E2"/>
    <w:rsid w:val="00174796"/>
    <w:rsid w:val="001A06FE"/>
    <w:rsid w:val="001E374C"/>
    <w:rsid w:val="005867C1"/>
    <w:rsid w:val="00592FF2"/>
    <w:rsid w:val="005C02AE"/>
    <w:rsid w:val="00631570"/>
    <w:rsid w:val="007412ED"/>
    <w:rsid w:val="008A221C"/>
    <w:rsid w:val="009D67B7"/>
    <w:rsid w:val="00A00D87"/>
    <w:rsid w:val="00AA44E2"/>
    <w:rsid w:val="00C85675"/>
    <w:rsid w:val="00CC7BEC"/>
    <w:rsid w:val="00E072EF"/>
    <w:rsid w:val="00E37537"/>
    <w:rsid w:val="00EB4BF3"/>
    <w:rsid w:val="00FC05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44E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0"/>
      <w:szCs w:val="20"/>
      <w:lang w:eastAsia="bg-BG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oc-ti">
    <w:name w:val="doc-ti"/>
    <w:basedOn w:val="a"/>
    <w:rsid w:val="00AA44E2"/>
    <w:pPr>
      <w:widowControl/>
      <w:autoSpaceDE/>
      <w:autoSpaceDN/>
      <w:adjustRightInd/>
      <w:spacing w:before="100" w:beforeAutospacing="1" w:after="100" w:afterAutospacing="1"/>
    </w:pPr>
    <w:rPr>
      <w:rFonts w:eastAsia="Times New Roman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AA44E2"/>
    <w:rPr>
      <w:rFonts w:ascii="Tahoma" w:hAnsi="Tahoma" w:cs="Tahoma"/>
      <w:sz w:val="16"/>
      <w:szCs w:val="16"/>
    </w:rPr>
  </w:style>
  <w:style w:type="character" w:customStyle="1" w:styleId="a4">
    <w:name w:val="Изнесен текст Знак"/>
    <w:basedOn w:val="a0"/>
    <w:link w:val="a3"/>
    <w:uiPriority w:val="99"/>
    <w:semiHidden/>
    <w:rsid w:val="00AA44E2"/>
    <w:rPr>
      <w:rFonts w:ascii="Tahoma" w:eastAsiaTheme="minorEastAsia" w:hAnsi="Tahoma" w:cs="Tahoma"/>
      <w:sz w:val="16"/>
      <w:szCs w:val="16"/>
      <w:lang w:eastAsia="bg-BG"/>
    </w:rPr>
  </w:style>
  <w:style w:type="paragraph" w:styleId="a5">
    <w:name w:val="header"/>
    <w:basedOn w:val="a"/>
    <w:link w:val="a6"/>
    <w:uiPriority w:val="99"/>
    <w:unhideWhenUsed/>
    <w:rsid w:val="005C02AE"/>
    <w:pPr>
      <w:tabs>
        <w:tab w:val="center" w:pos="4513"/>
        <w:tab w:val="right" w:pos="9026"/>
      </w:tabs>
    </w:pPr>
  </w:style>
  <w:style w:type="character" w:customStyle="1" w:styleId="a6">
    <w:name w:val="Горен колонтитул Знак"/>
    <w:basedOn w:val="a0"/>
    <w:link w:val="a5"/>
    <w:uiPriority w:val="99"/>
    <w:rsid w:val="005C02AE"/>
    <w:rPr>
      <w:rFonts w:ascii="Times New Roman" w:eastAsiaTheme="minorEastAsia" w:hAnsi="Times New Roman" w:cs="Times New Roman"/>
      <w:sz w:val="20"/>
      <w:szCs w:val="20"/>
      <w:lang w:eastAsia="bg-BG"/>
    </w:rPr>
  </w:style>
  <w:style w:type="paragraph" w:styleId="a7">
    <w:name w:val="footer"/>
    <w:basedOn w:val="a"/>
    <w:link w:val="a8"/>
    <w:uiPriority w:val="99"/>
    <w:unhideWhenUsed/>
    <w:rsid w:val="005C02AE"/>
    <w:pPr>
      <w:tabs>
        <w:tab w:val="center" w:pos="4513"/>
        <w:tab w:val="right" w:pos="9026"/>
      </w:tabs>
    </w:pPr>
  </w:style>
  <w:style w:type="character" w:customStyle="1" w:styleId="a8">
    <w:name w:val="Долен колонтитул Знак"/>
    <w:basedOn w:val="a0"/>
    <w:link w:val="a7"/>
    <w:uiPriority w:val="99"/>
    <w:rsid w:val="005C02AE"/>
    <w:rPr>
      <w:rFonts w:ascii="Times New Roman" w:eastAsiaTheme="minorEastAsia" w:hAnsi="Times New Roman" w:cs="Times New Roman"/>
      <w:sz w:val="20"/>
      <w:szCs w:val="20"/>
      <w:lang w:eastAsia="bg-BG"/>
    </w:rPr>
  </w:style>
  <w:style w:type="paragraph" w:styleId="a9">
    <w:name w:val="Title"/>
    <w:basedOn w:val="a"/>
    <w:next w:val="a"/>
    <w:link w:val="aa"/>
    <w:uiPriority w:val="10"/>
    <w:qFormat/>
    <w:rsid w:val="00EB4BF3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a">
    <w:name w:val="Заглавие Знак"/>
    <w:basedOn w:val="a0"/>
    <w:link w:val="a9"/>
    <w:uiPriority w:val="10"/>
    <w:rsid w:val="00EB4BF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bg-BG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44E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0"/>
      <w:szCs w:val="20"/>
      <w:lang w:eastAsia="bg-BG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oc-ti">
    <w:name w:val="doc-ti"/>
    <w:basedOn w:val="a"/>
    <w:rsid w:val="00AA44E2"/>
    <w:pPr>
      <w:widowControl/>
      <w:autoSpaceDE/>
      <w:autoSpaceDN/>
      <w:adjustRightInd/>
      <w:spacing w:before="100" w:beforeAutospacing="1" w:after="100" w:afterAutospacing="1"/>
    </w:pPr>
    <w:rPr>
      <w:rFonts w:eastAsia="Times New Roman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AA44E2"/>
    <w:rPr>
      <w:rFonts w:ascii="Tahoma" w:hAnsi="Tahoma" w:cs="Tahoma"/>
      <w:sz w:val="16"/>
      <w:szCs w:val="16"/>
    </w:rPr>
  </w:style>
  <w:style w:type="character" w:customStyle="1" w:styleId="a4">
    <w:name w:val="Balloon Text Char"/>
    <w:basedOn w:val="a0"/>
    <w:link w:val="a3"/>
    <w:uiPriority w:val="99"/>
    <w:semiHidden/>
    <w:rsid w:val="00AA44E2"/>
    <w:rPr>
      <w:rFonts w:ascii="Tahoma" w:eastAsiaTheme="minorEastAsia" w:hAnsi="Tahoma" w:cs="Tahoma"/>
      <w:sz w:val="16"/>
      <w:szCs w:val="16"/>
      <w:lang w:eastAsia="bg-BG"/>
    </w:rPr>
  </w:style>
  <w:style w:type="paragraph" w:styleId="a5">
    <w:name w:val="header"/>
    <w:basedOn w:val="a"/>
    <w:link w:val="a6"/>
    <w:uiPriority w:val="99"/>
    <w:unhideWhenUsed/>
    <w:rsid w:val="005C02AE"/>
    <w:pPr>
      <w:tabs>
        <w:tab w:val="center" w:pos="4513"/>
        <w:tab w:val="right" w:pos="9026"/>
      </w:tabs>
    </w:pPr>
  </w:style>
  <w:style w:type="character" w:customStyle="1" w:styleId="a6">
    <w:name w:val="Header Char"/>
    <w:basedOn w:val="a0"/>
    <w:link w:val="a5"/>
    <w:uiPriority w:val="99"/>
    <w:rsid w:val="005C02AE"/>
    <w:rPr>
      <w:rFonts w:ascii="Times New Roman" w:eastAsiaTheme="minorEastAsia" w:hAnsi="Times New Roman" w:cs="Times New Roman"/>
      <w:sz w:val="20"/>
      <w:szCs w:val="20"/>
      <w:lang w:eastAsia="bg-BG"/>
    </w:rPr>
  </w:style>
  <w:style w:type="paragraph" w:styleId="a7">
    <w:name w:val="footer"/>
    <w:basedOn w:val="a"/>
    <w:link w:val="a8"/>
    <w:uiPriority w:val="99"/>
    <w:unhideWhenUsed/>
    <w:rsid w:val="005C02AE"/>
    <w:pPr>
      <w:tabs>
        <w:tab w:val="center" w:pos="4513"/>
        <w:tab w:val="right" w:pos="9026"/>
      </w:tabs>
    </w:pPr>
  </w:style>
  <w:style w:type="character" w:customStyle="1" w:styleId="a8">
    <w:name w:val="Footer Char"/>
    <w:basedOn w:val="a0"/>
    <w:link w:val="a7"/>
    <w:uiPriority w:val="99"/>
    <w:rsid w:val="005C02AE"/>
    <w:rPr>
      <w:rFonts w:ascii="Times New Roman" w:eastAsiaTheme="minorEastAsia" w:hAnsi="Times New Roman" w:cs="Times New Roman"/>
      <w:sz w:val="20"/>
      <w:szCs w:val="20"/>
      <w:lang w:eastAsia="bg-BG"/>
    </w:rPr>
  </w:style>
  <w:style w:type="paragraph" w:styleId="a9">
    <w:name w:val="Title"/>
    <w:basedOn w:val="a"/>
    <w:next w:val="a"/>
    <w:link w:val="aa"/>
    <w:uiPriority w:val="10"/>
    <w:qFormat/>
    <w:rsid w:val="00EB4BF3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a">
    <w:name w:val="Title Char"/>
    <w:basedOn w:val="a0"/>
    <w:link w:val="a9"/>
    <w:uiPriority w:val="10"/>
    <w:rsid w:val="00EB4BF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bg-BG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emf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8CAA52-C3B7-438A-88B3-BB9925AAFE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3574</Words>
  <Characters>20372</Characters>
  <Application>Microsoft Office Word</Application>
  <DocSecurity>0</DocSecurity>
  <Lines>169</Lines>
  <Paragraphs>47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23899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svetlana</dc:creator>
  <cp:lastModifiedBy>ObSavet</cp:lastModifiedBy>
  <cp:revision>3</cp:revision>
  <dcterms:created xsi:type="dcterms:W3CDTF">2016-05-25T04:54:00Z</dcterms:created>
  <dcterms:modified xsi:type="dcterms:W3CDTF">2016-07-13T10:33:00Z</dcterms:modified>
</cp:coreProperties>
</file>